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40"/>
        <w:jc w:val="center"/>
      </w:pPr>
      <w:r>
        <w:rPr>
          <w:rFonts w:ascii="Garamond" w:cs="Garamond" w:eastAsia="Garamond" w:hAnsi="Garamond"/>
          <w:b/>
          <w:bCs/>
          <w:sz w:val="28"/>
          <w:szCs w:val="28"/>
        </w:rPr>
        <w:t xml:space="preserve">REPORT OF SPECIAL STUDY 1978–9</w:t>
      </w:r>
    </w:p>
    <w:p>
      <w:pPr>
        <w:spacing w:after="800"/>
      </w:pPr>
    </w:p>
    <w:p>
      <w:pPr>
        <w:spacing w:after="100"/>
        <w:jc w:val="center"/>
      </w:pPr>
      <w:r>
        <w:rPr>
          <w:rFonts w:ascii="Garamond" w:cs="Garamond" w:eastAsia="Garamond" w:hAnsi="Garamond"/>
          <w:b/>
          <w:bCs/>
          <w:sz w:val="30"/>
          <w:szCs w:val="30"/>
        </w:rPr>
        <w:t xml:space="preserve">A CASE FOR THE MORE ACTIVE CONSERVATION</w:t>
      </w:r>
    </w:p>
    <w:p>
      <w:pPr>
        <w:spacing w:after="2000"/>
        <w:jc w:val="center"/>
      </w:pPr>
      <w:r>
        <w:rPr>
          <w:rFonts w:ascii="Garamond" w:cs="Garamond" w:eastAsia="Garamond" w:hAnsi="Garamond"/>
          <w:b/>
          <w:bCs/>
          <w:sz w:val="30"/>
          <w:szCs w:val="30"/>
        </w:rPr>
        <w:t xml:space="preserve">OF MAMMALS IN GREAT BRITAIN</w:t>
      </w:r>
    </w:p>
    <w:p>
      <w:pPr>
        <w:spacing w:before="3000"/>
        <w:jc w:val="right"/>
      </w:pPr>
      <w:r>
        <w:rPr>
          <w:rFonts w:ascii="Garamond" w:cs="Garamond" w:eastAsia="Garamond" w:hAnsi="Garamond"/>
          <w:sz w:val="26"/>
          <w:szCs w:val="26"/>
        </w:rPr>
        <w:t xml:space="preserve">T. VEALL</w:t>
      </w:r>
    </w:p>
    <w:p>
      <w:pPr>
        <w:spacing w:before="4000"/>
        <w:jc w:val="center"/>
      </w:pPr>
      <w:r>
        <w:rPr>
          <w:rFonts w:ascii="Garamond" w:cs="Garamond" w:eastAsia="Garamond" w:hAnsi="Garamond"/>
          <w:i/>
          <w:iCs/>
          <w:sz w:val="22"/>
          <w:szCs w:val="22"/>
        </w:rPr>
        <w:t xml:space="preserve">Wye College, University of London</w:t>
      </w:r>
    </w:p>
    <w:p>
      <w:r>
        <w:br w:type="page"/>
      </w:r>
    </w:p>
    <w:p>
      <w:pPr>
        <w:spacing w:after="400"/>
        <w:jc w:val="center"/>
      </w:pPr>
      <w:r>
        <w:rPr>
          <w:rFonts w:ascii="Garamond" w:cs="Garamond" w:eastAsia="Garamond" w:hAnsi="Garamond"/>
          <w:b/>
          <w:bCs/>
          <w:sz w:val="28"/>
          <w:szCs w:val="28"/>
        </w:rPr>
        <w:t xml:space="preserve">CONTENTS</w:t>
      </w:r>
    </w:p>
    <w:p>
      <w:pPr>
        <w:tabs>
          <w:tab w:val="right" w:pos="9026"/>
        </w:tabs>
        <w:spacing w:after="200"/>
      </w:pPr>
      <w:r>
        <w:rPr>
          <w:rFonts w:ascii="Garamond" w:cs="Garamond" w:eastAsia="Garamond" w:hAnsi="Garamond"/>
          <w:sz w:val="24"/>
          <w:szCs w:val="24"/>
        </w:rPr>
        <w:t xml:space="preserve">An Introduction to Nature Conservation and Mammals	1</w:t>
      </w:r>
    </w:p>
    <w:p>
      <w:pPr>
        <w:tabs>
          <w:tab w:val="right" w:pos="9026"/>
        </w:tabs>
        <w:spacing w:after="200"/>
      </w:pPr>
      <w:r>
        <w:rPr>
          <w:rFonts w:ascii="Garamond" w:cs="Garamond" w:eastAsia="Garamond" w:hAnsi="Garamond"/>
          <w:sz w:val="24"/>
          <w:szCs w:val="24"/>
        </w:rPr>
        <w:t xml:space="preserve">The Present Structure of Conservation in Britain Relating to Mammals	8</w:t>
      </w:r>
    </w:p>
    <w:p>
      <w:pPr>
        <w:tabs>
          <w:tab w:val="right" w:pos="9026"/>
        </w:tabs>
        <w:spacing w:after="200"/>
      </w:pPr>
      <w:r>
        <w:rPr>
          <w:rFonts w:ascii="Garamond" w:cs="Garamond" w:eastAsia="Garamond" w:hAnsi="Garamond"/>
          <w:sz w:val="24"/>
          <w:szCs w:val="24"/>
        </w:rPr>
        <w:t xml:space="preserve">The Use of Mammal Reintroduction and Introductions for Conservation	18</w:t>
      </w:r>
    </w:p>
    <w:p>
      <w:pPr>
        <w:tabs>
          <w:tab w:val="right" w:pos="9026"/>
        </w:tabs>
        <w:spacing w:after="200"/>
      </w:pPr>
      <w:r>
        <w:rPr>
          <w:rFonts w:ascii="Garamond" w:cs="Garamond" w:eastAsia="Garamond" w:hAnsi="Garamond"/>
          <w:sz w:val="24"/>
          <w:szCs w:val="24"/>
        </w:rPr>
        <w:t xml:space="preserve">Summary	23</w:t>
      </w:r>
    </w:p>
    <w:p>
      <w:pPr>
        <w:spacing w:after="200"/>
      </w:pPr>
      <w:r>
        <w:rPr>
          <w:rFonts w:ascii="Garamond" w:cs="Garamond" w:eastAsia="Garamond" w:hAnsi="Garamond"/>
          <w:sz w:val="24"/>
          <w:szCs w:val="24"/>
        </w:rPr>
        <w:t xml:space="preserve">References</w:t>
      </w:r>
    </w:p>
    <w:p>
      <w:r>
        <w:br w:type="page"/>
      </w:r>
    </w:p>
    <w:p>
      <w:pPr>
        <w:spacing w:after="240"/>
      </w:pPr>
      <w:r>
        <w:rPr>
          <w:rFonts w:ascii="Garamond" w:cs="Garamond" w:eastAsia="Garamond" w:hAnsi="Garamond"/>
          <w:i/>
          <w:iCs/>
          <w:color w:val="555555"/>
          <w:sz w:val="20"/>
          <w:szCs w:val="20"/>
        </w:rPr>
        <w:t xml:space="preserve">This document is a digital transcription of the original 1979 typescript, prepared from a scanned copy. Pagination, section structure and wording follow the original as closely as possible; minor typographical corrections have been made where the scan was ambiguous.</w:t>
      </w:r>
    </w:p>
    <w:p>
      <w:pPr>
        <w:pStyle w:val="Heading1"/>
        <w:spacing w:after="240" w:before="400"/>
      </w:pPr>
      <w:r>
        <w:rPr>
          <w:rFonts w:ascii="Garamond" w:cs="Garamond" w:eastAsia="Garamond" w:hAnsi="Garamond"/>
          <w:b/>
          <w:bCs/>
          <w:sz w:val="28"/>
          <w:szCs w:val="28"/>
        </w:rPr>
        <w:t xml:space="preserve">A Case for the More Active Conservation of Mammals in Britain</w:t>
      </w:r>
    </w:p>
    <w:p>
      <w:pPr>
        <w:spacing w:after="200" w:line="300"/>
        <w:jc w:val="both"/>
      </w:pPr>
      <w:r>
        <w:rPr>
          <w:rFonts w:ascii="Garamond" w:cs="Garamond" w:eastAsia="Garamond" w:hAnsi="Garamond"/>
          <w:i w:val="false"/>
          <w:iCs w:val="false"/>
          <w:sz w:val="24"/>
          <w:szCs w:val="24"/>
        </w:rPr>
        <w:t xml:space="preserve">In Great Britain there is a fauna that is naturally impoverished, and which has been further impoverished by man. In Western Europe there are 184 mammal species, whilst in Britain there are only 54 mammal species, 17 of these are man-induced introductions, which have subsequently become reasonably well established. Since the last glaciation 15 species have been lost, 9 of them probably as a direct result of man's activities.</w:t>
      </w:r>
    </w:p>
    <w:p>
      <w:pPr>
        <w:spacing w:after="200" w:line="300"/>
        <w:jc w:val="both"/>
      </w:pPr>
      <w:r>
        <w:rPr>
          <w:rFonts w:ascii="Garamond" w:cs="Garamond" w:eastAsia="Garamond" w:hAnsi="Garamond"/>
          <w:i w:val="false"/>
          <w:iCs w:val="false"/>
          <w:sz w:val="24"/>
          <w:szCs w:val="24"/>
        </w:rPr>
        <w:t xml:space="preserve">These species have been lost because of their large range of requirements, and position in the trophic structure of natural ecosystems, which have conflicted with man's intensifying efforts to exploit the natural environment.</w:t>
      </w:r>
    </w:p>
    <w:p>
      <w:pPr>
        <w:spacing w:after="200" w:line="300"/>
        <w:jc w:val="both"/>
      </w:pPr>
      <w:r>
        <w:rPr>
          <w:rFonts w:ascii="Garamond" w:cs="Garamond" w:eastAsia="Garamond" w:hAnsi="Garamond"/>
          <w:i w:val="false"/>
          <w:iCs w:val="false"/>
          <w:sz w:val="24"/>
          <w:szCs w:val="24"/>
        </w:rPr>
        <w:t xml:space="preserve">These intensifying pressures have been recognized and have led to active efforts by man to conserve his environment and nature. At present the justification for conservation is recognized by most people, but its practical implementation is beset with problems of an economic, sociological, political and ecological nature.</w:t>
      </w:r>
    </w:p>
    <w:p>
      <w:pPr>
        <w:spacing w:after="200" w:line="300"/>
        <w:jc w:val="both"/>
      </w:pPr>
      <w:r>
        <w:rPr>
          <w:rFonts w:ascii="Garamond" w:cs="Garamond" w:eastAsia="Garamond" w:hAnsi="Garamond"/>
          <w:i w:val="false"/>
          <w:iCs w:val="false"/>
          <w:sz w:val="24"/>
          <w:szCs w:val="24"/>
        </w:rPr>
        <w:t xml:space="preserve">To date most active efforts to conserve nature in Britain have centred around the preservation of existing habitats, with their existing vegetation, and it has been assumed that such efforts would naturally conserve animal species, dependent as they are, ultimately, upon plant life. It is only recently that a desire to attempt to recreate some of our former habitats, through reintroduction and introduction of species has been expressed, in an attempt to broaden our frames of reference.</w:t>
      </w:r>
    </w:p>
    <w:p>
      <w:pPr>
        <w:spacing w:after="200" w:line="300"/>
        <w:jc w:val="both"/>
      </w:pPr>
      <w:r>
        <w:rPr>
          <w:rFonts w:ascii="Garamond" w:cs="Garamond" w:eastAsia="Garamond" w:hAnsi="Garamond"/>
          <w:i w:val="false"/>
          <w:iCs w:val="false"/>
          <w:sz w:val="24"/>
          <w:szCs w:val="24"/>
        </w:rPr>
        <w:t xml:space="preserve">The problems of conserving mammal species, particularly the larger ones, are the heavy demands that they place on Britain's relatively limited land area. It is the contention of this study that mammals have a right to be more actively conserved, and that such efforts are likely to be beneficial in a number of areas. The problems lie in justifying their use of the land, and in attempting to justify and assess the likely impact of any reintroductions or introductions.</w:t>
      </w:r>
    </w:p>
    <w:p>
      <w:r>
        <w:br w:type="page"/>
      </w:r>
    </w:p>
    <w:p>
      <w:pPr>
        <w:pStyle w:val="Heading1"/>
        <w:spacing w:after="240" w:before="400"/>
      </w:pPr>
      <w:r>
        <w:rPr>
          <w:rFonts w:ascii="Garamond" w:cs="Garamond" w:eastAsia="Garamond" w:hAnsi="Garamond"/>
          <w:b/>
          <w:bCs/>
          <w:sz w:val="28"/>
          <w:szCs w:val="28"/>
        </w:rPr>
        <w:t xml:space="preserve">An Introduction to Nature Conservation and Mammals</w:t>
      </w:r>
    </w:p>
    <w:p>
      <w:pPr>
        <w:spacing w:after="200" w:line="300"/>
        <w:jc w:val="both"/>
      </w:pPr>
      <w:r>
        <w:rPr>
          <w:rFonts w:ascii="Garamond" w:cs="Garamond" w:eastAsia="Garamond" w:hAnsi="Garamond"/>
          <w:i w:val="false"/>
          <w:iCs w:val="false"/>
          <w:sz w:val="24"/>
          <w:szCs w:val="24"/>
        </w:rPr>
        <w:t xml:space="preserve">In 1967 the 1st World Wildlife Congress at Amsterdam opened with the following statement:</w:t>
      </w:r>
    </w:p>
    <w:p>
      <w:pPr>
        <w:spacing w:after="200" w:line="300"/>
        <w:ind w:left="480" w:right="480"/>
        <w:jc w:val="both"/>
      </w:pPr>
      <w:r>
        <w:rPr>
          <w:rFonts w:ascii="Garamond" w:cs="Garamond" w:eastAsia="Garamond" w:hAnsi="Garamond"/>
          <w:i/>
          <w:iCs/>
          <w:sz w:val="22"/>
          <w:szCs w:val="22"/>
        </w:rPr>
        <w:t xml:space="preserve">“The natural environment with its infinite variety of landscape, animals and plants, and its infinite capacity to uplift the human spirit is essential to the well being of all people and is part of the heritage of all people, deserving the respect of all people. For these reasons all people of each generation all over the world have a responsibility of trusteeship to defend all and nurture these irreplaceable natural resources and hand them on undamaged to the next generation.”</w:t>
      </w:r>
    </w:p>
    <w:p>
      <w:pPr>
        <w:spacing w:after="200" w:line="300"/>
        <w:jc w:val="both"/>
      </w:pPr>
      <w:r>
        <w:rPr>
          <w:rFonts w:ascii="Garamond" w:cs="Garamond" w:eastAsia="Garamond" w:hAnsi="Garamond"/>
          <w:i w:val="false"/>
          <w:iCs w:val="false"/>
          <w:sz w:val="24"/>
          <w:szCs w:val="24"/>
        </w:rPr>
        <w:t xml:space="preserve">It is easy to underestimate some of the most significant changes in history simply because they occur relatively slowly. One area that has attracted growing concern, particularly within the last three decades, has been the conservation of nature, including the most advanced group of animals, the mammals. Fisher, Simon and Vincent (1969) have calculated that since 1600, 36 of the world's 4,226 mammal species have become extinct, and that an estimated 120 are now reckoned to be seriously endangered. During the process of evolution certain species inevitably become extinct and are replaced naturally by other species, but Fisher, Simon and Vincent (1969) have estimated that 75% of the extinctions which have occurred since 1600 have been caused by human interference; 33% estimated to have been caused by hunting, 19% by habitat disruption, 17% by the introduction of predators and 6% by other introductions. Such a situation clearly deserves the attention of man and active efforts to ensure that such a trend does not continue.</w:t>
      </w:r>
    </w:p>
    <w:p>
      <w:pPr>
        <w:spacing w:after="200" w:line="300"/>
        <w:jc w:val="both"/>
      </w:pPr>
      <w:r>
        <w:rPr>
          <w:rFonts w:ascii="Garamond" w:cs="Garamond" w:eastAsia="Garamond" w:hAnsi="Garamond"/>
          <w:i w:val="false"/>
          <w:iCs w:val="false"/>
          <w:sz w:val="24"/>
          <w:szCs w:val="24"/>
        </w:rPr>
        <w:t xml:space="preserve">Within this context, zoo directors have increasingly taken up the task of conserving rare species by breeding sufficient numbers in their collections to allow the release of animals into suitable areas in the wild. Jarvis (1967) examined the value of zoos for science and conservation, whilst Pinder and Barkham (1978) attempted an assessment of the contribution of captive breeding to the conservation of rare mammals. They both conclude that, in general, captive breeding for reintroduction is a much less significant role for zoos than the maintenance and development of captive populations of all species for educational and research purposes, and as insurance for the future. These conclusions relating specifically to mammals reinforce the recognition and acceptance held by nature conservationists, that nature conservation can only succeed if areas of particular value can be recognized and protected. As Fisher, Simon and Vincent (1969) state, “the main battle is now in the field of habitat maintenance.”</w:t>
      </w:r>
    </w:p>
    <w:p>
      <w:pPr>
        <w:spacing w:after="200" w:line="300"/>
        <w:jc w:val="both"/>
      </w:pPr>
      <w:r>
        <w:rPr>
          <w:rFonts w:ascii="Garamond" w:cs="Garamond" w:eastAsia="Garamond" w:hAnsi="Garamond"/>
          <w:i w:val="false"/>
          <w:iCs w:val="false"/>
          <w:sz w:val="24"/>
          <w:szCs w:val="24"/>
        </w:rPr>
        <w:t xml:space="preserve">A national strategy for nature conservation in the British Isles was formally prescribed in 1947 in the Government White Papers “Conservation of Nature in England and Wales”, Cmd. 7122, and “National Parks and the Conservation of Nature in Scotland”, Cmd. 7235, recognizing this need to conserve habitat. These documents presented the basic philosophy that the practice of nature conservation in Britain should centre around the safeguarding of a fairly large number of key areas adequately representing all major types of natural and semi-natural vegetation with their characteristic assemblages of plants and animals, and habitat conditions of climate, topography, rocks and soils, and biotic influences. Geological and physiographic features were to be represented for their own intrinsic interest. The identification of the need to actively conserve nature had arisen through a variety of factors.</w:t>
      </w:r>
    </w:p>
    <w:p>
      <w:pPr>
        <w:spacing w:after="200" w:line="300"/>
        <w:jc w:val="both"/>
      </w:pPr>
      <w:r>
        <w:rPr>
          <w:rFonts w:ascii="Garamond" w:cs="Garamond" w:eastAsia="Garamond" w:hAnsi="Garamond"/>
          <w:i w:val="false"/>
          <w:iCs w:val="false"/>
          <w:sz w:val="24"/>
          <w:szCs w:val="24"/>
        </w:rPr>
        <w:t xml:space="preserve">In the British Isles there is a naturally impoverished fauna and flora for two main reasons. Firstly, they were cut off from the mainland fairly early on in the period of recolonisation of Northern Europe after the last glaciation, thus a number of species are absent which might otherwise have been expected to form part of our native fauna and flora. The English Channel has proved to be an effective barrier to natural migration, particularly to mammals. Secondly, substantial further impoverishment has occurred largely since the Neolithic Revolution, through the activities of man, mainly in pursuit of agriculture which places heavy demands on the available land area (see Hill and Ingersent 1976, Edwards and Wibberley 1971, and the Countryside Review Committee 1976). The pioneer human communities have joined up so that farmland is now virtually continuous and the natural habitats, which were predominantly deciduous woodland, have been fragmented into “islands” of a relatively small size. Even these “islands” have not remained untouched and there are very few habitats in the British Isles that can be thought of as truly “natural”. At present agriculture occupies about 75% of the land surface in Britain, whilst woodland occupies some 8% of the land's surface (Best 1975), of which 1,135,000 ha. are coniferous high forest (710,000 ha. Forestry Commission planted), and only some 325,000 ha. broadleaved high forest (Holmes 1975). As a contrast to this, Nature Reserves in England and Wales only occupy 0.6% of the land area (Countryside Commission 1973).</w:t>
      </w:r>
    </w:p>
    <w:p>
      <w:pPr>
        <w:spacing w:after="200" w:line="300"/>
        <w:jc w:val="both"/>
      </w:pPr>
      <w:r>
        <w:rPr>
          <w:rFonts w:ascii="Garamond" w:cs="Garamond" w:eastAsia="Garamond" w:hAnsi="Garamond"/>
          <w:i w:val="false"/>
          <w:iCs w:val="false"/>
          <w:sz w:val="24"/>
          <w:szCs w:val="24"/>
        </w:rPr>
        <w:t xml:space="preserve">British mammals have suffered severely as a result of this habitat fragmentation, and our naturally impoverished fauna, which may be explained by island biogeographic theory in relation to Britain's relatively small area (see MacArthur and Wilson, 1967), has been further impoverished by a combination of habitat loss and direct persecution which has been man effected. Thus the British Isles has lost the wolf (Canis lupus), bear (Ursus arctos), lynx (Lynx lynx), wild boar (Sus scrofa), elk (Alces alces), reindeer (Rangifer tarandus), bison (Bison bonasus), aurochs (Bos taurus primigenius) and the beaver (Castor fiber), (Nevard 1976). Whilst according to Kurten (1968) the arctic fox (Alopex lagopus), wolverine (Gulo gulo), the lemmings (Lemmus lemmus), and Distronyx torquatus, root vole (Microtus ratticeps), and ibex (Capra hircus ibex), were all present for some period after the Atlantic/Sub-Boreal transition of 3000 B.C. but probably disappeared due to changes caused by climatic factors. The last of these species to go was the wolf, which is estimated to have disappeared in Scotland during the 1740's (Hawksworth 1974, and Fitter 1959).</w:t>
      </w:r>
    </w:p>
    <w:p>
      <w:pPr>
        <w:spacing w:after="200" w:line="300"/>
        <w:jc w:val="both"/>
      </w:pPr>
      <w:r>
        <w:rPr>
          <w:rFonts w:ascii="Garamond" w:cs="Garamond" w:eastAsia="Garamond" w:hAnsi="Garamond"/>
          <w:i w:val="false"/>
          <w:iCs w:val="false"/>
          <w:sz w:val="24"/>
          <w:szCs w:val="24"/>
        </w:rPr>
        <w:t xml:space="preserve">Many of these species disappeared because they have large range requirements and are relatively large in size, so because their natural habitats were being fragmented on a nationwide scale, conflict with man's activities, mainly agricultural, was inevitable. The carnivorous species caused direct stock losses and posed a certain, although debatable, element of personal danger to man, whilst the herbivores provided competition with man's domesticated livestock. Some species were hunted purely for sport, for example the wild boar, whilst others were sought for their commodity value, the beaver for instance was hunted for its fur (see Dent 1974).</w:t>
      </w:r>
    </w:p>
    <w:p>
      <w:pPr>
        <w:spacing w:after="200" w:line="300"/>
        <w:jc w:val="both"/>
      </w:pPr>
      <w:r>
        <w:rPr>
          <w:rFonts w:ascii="Garamond" w:cs="Garamond" w:eastAsia="Garamond" w:hAnsi="Garamond"/>
          <w:i w:val="false"/>
          <w:iCs w:val="false"/>
          <w:sz w:val="24"/>
          <w:szCs w:val="24"/>
        </w:rPr>
        <w:t xml:space="preserve">For most of our other plants and animals with much smaller range requirements, and of less direct influence on man's activities, all the systems of agriculture from Neolithic times until recently produced a wide range of habitats; partly because there were many fragments of uncropped land and partly because the crops themselves produced large unplanned crops of wildlife. Obviously, the patterns and proportions of the different habitats changed over the years, but by and large, nature conservation appeared to be a natural process (Moore 1977).</w:t>
      </w:r>
    </w:p>
    <w:p>
      <w:pPr>
        <w:spacing w:after="200" w:line="300"/>
        <w:jc w:val="both"/>
      </w:pPr>
      <w:r>
        <w:rPr>
          <w:rFonts w:ascii="Garamond" w:cs="Garamond" w:eastAsia="Garamond" w:hAnsi="Garamond"/>
          <w:i w:val="false"/>
          <w:iCs w:val="false"/>
          <w:sz w:val="24"/>
          <w:szCs w:val="24"/>
        </w:rPr>
        <w:t xml:space="preserve">This situation has changed fairly dramatically since the Second World War. The agents of change have largely been forced by an increasing population, and have been economic, political, mechanical and chemical. Agriculture has been intensified to an enormous extent, pressures from competing land uses such as urban expansion, forestry, water storage, mineral extraction, transport and recreation have served to intensify this trend. The overall effect of these changes has been an absolute reduction in wildlife habitats (Moore 1977).</w:t>
      </w:r>
    </w:p>
    <w:p>
      <w:pPr>
        <w:spacing w:after="200" w:line="300"/>
        <w:jc w:val="both"/>
      </w:pPr>
      <w:r>
        <w:rPr>
          <w:rFonts w:ascii="Garamond" w:cs="Garamond" w:eastAsia="Garamond" w:hAnsi="Garamond"/>
          <w:i w:val="false"/>
          <w:iCs w:val="false"/>
          <w:sz w:val="24"/>
          <w:szCs w:val="24"/>
        </w:rPr>
        <w:t xml:space="preserve">Recently much attention has been focussed, at an international, national and local level, in recognition of the conflicts that exist, and in an attempt to reconcile some of these problems. For example, the recently published Strutt Report looks specifically at agriculture and attempts to offer some ways in which the use of the land can be reconciled with other uses including nature conservation.</w:t>
      </w:r>
    </w:p>
    <w:p>
      <w:pPr>
        <w:spacing w:after="200" w:line="300"/>
        <w:jc w:val="both"/>
      </w:pPr>
      <w:r>
        <w:rPr>
          <w:rFonts w:ascii="Garamond" w:cs="Garamond" w:eastAsia="Garamond" w:hAnsi="Garamond"/>
          <w:i w:val="false"/>
          <w:iCs w:val="false"/>
          <w:sz w:val="24"/>
          <w:szCs w:val="24"/>
        </w:rPr>
        <w:t xml:space="preserve">The Royal Society for the Protection of Birds published “Farming and Wildlife, a study in compromise”, in 1970, and many other similar documents have relatively recently been written. On the whole, they all accept the needs and desirability of nature conservation, and various courses of reconciliatory action have been offered, both to conserve nature and our landscape, but largely speaking conservation revolves around the conservation of semi-natural habitats. The importance of nature conservation has in effect only been realised because of the threats that have so recently been imposed, but the frames of reference so often used in conservation circles tend to be restricted to a relatively short time period. This is particularly the case where mammals are concerned.</w:t>
      </w:r>
    </w:p>
    <w:p>
      <w:pPr>
        <w:spacing w:after="200" w:line="300"/>
        <w:jc w:val="both"/>
      </w:pPr>
      <w:r>
        <w:rPr>
          <w:rFonts w:ascii="Garamond" w:cs="Garamond" w:eastAsia="Garamond" w:hAnsi="Garamond"/>
          <w:i w:val="false"/>
          <w:iCs w:val="false"/>
          <w:sz w:val="24"/>
          <w:szCs w:val="24"/>
        </w:rPr>
        <w:t xml:space="preserve">At present conservation seems to be equated with the preservation of habitats that existed prior to the recent, so-called, “agricultural revolution”, in an age when agriculture was considered a natural custodian of the land. At present personal philosophies are at stake in deciding whether conservation equals preservation, or whether a more positive approach should be adopted. Bradshaw (1976) feels that restoration, reintroduction and creation are the main components of creative conservation. Such an approach applied to the conservation of mammals would involve the reintroduction and possibly the introduction of species, and conservationists are currently attempting to lay down policy guidelines to control such actions, e.g. Society for the Promotion of Nature Conservation (1970), World Wildlife Fund (1976), and the International Union for the Conservation of Nature (1966). Rose (1978) feels that conservation began to grow and function before a philosophical or theoretical justification could be fully worked out, and that it has now gained momentum without an equivalently firm footing in universally accepted reasons or justifications for its activities. This seems to be the case in reserve selection, which is becoming increasingly bolstered by accepted procedures but still lacks a solid theoretical base. It is debatable whether conservation rationale is based on “science”, and therefore open to scientific criticism, or on a purely moral and ethical stand, and it may well be that conservation should involve a combination of these two approaches. In this light, Elton's (1958) definition of conservation as “some wise principle of coexistence between man and nature, even if it means a modified kind of man and a modified kind of nature”, would seem to be a very valid one. He proposes that conservation should be a process of better planning of habitat, interspersion and the building up of fairly complex plant and animal communities. This should be done for three reasons: firstly to create refuges for wild species, secondly to make our environment more interesting and satisfying, and thirdly in order to promote stability of populations and a varied community in which all kinds of compensatory pressures will be exercised on populations. This diversity-begets-stability hypothesis has tended to provide both a rationale and a convincing tool for use in the legitimisation of conservation, because diversity is attractive, and stability is desirable, but it has been discredited in the form Elton proposed.</w:t>
      </w:r>
    </w:p>
    <w:p>
      <w:pPr>
        <w:spacing w:after="200" w:line="300"/>
        <w:jc w:val="both"/>
      </w:pPr>
      <w:r>
        <w:rPr>
          <w:rFonts w:ascii="Garamond" w:cs="Garamond" w:eastAsia="Garamond" w:hAnsi="Garamond"/>
          <w:i w:val="false"/>
          <w:iCs w:val="false"/>
          <w:sz w:val="24"/>
          <w:szCs w:val="24"/>
        </w:rPr>
        <w:t xml:space="preserve">If conservation is to succeed then it must present a convincing and viable case from a variety of angles to justify its use of the land in the face of competition from other uses. It is not easy for organised conservation to change direction in response to new information or ideas, and this inertia is one of its most severe problems. The selection of reserves is beset with problems because of the perpetual shortage of basic survey information on which to base decisions, and a lack of a sound, usable and comprehensive body of theory with which to work. Additionally the protection of land requires tremendous financial investments. All these are problems with which conservation is faced. In the British situation with its predominance of semi-natural habitats, it would seem as if Bradshaw's (1976) components of restoration, reintroduction and creation are desirable objectives. In this context the use of mammal reintroductions, and possibly introductions, could have a very valuable role to play; in the ecology of conserved habitats, to humans in terms of interest and satisfaction, and hopefully, to the economic benefit of the conservation movement. However, the use of mammal species to achieve these ends is unlikely, at present, for two main reasons: firstly because of the structure of conservation organisations in this country, and secondly, because of the attitude towards mammals which is exemplified in the Nature Conservation Review (Ratcliffe 1977).</w:t>
      </w:r>
    </w:p>
    <w:p>
      <w:r>
        <w:br w:type="page"/>
      </w:r>
    </w:p>
    <w:p>
      <w:pPr>
        <w:pStyle w:val="Heading1"/>
        <w:spacing w:after="240" w:before="400"/>
      </w:pPr>
      <w:r>
        <w:rPr>
          <w:rFonts w:ascii="Garamond" w:cs="Garamond" w:eastAsia="Garamond" w:hAnsi="Garamond"/>
          <w:b/>
          <w:bCs/>
          <w:sz w:val="28"/>
          <w:szCs w:val="28"/>
        </w:rPr>
        <w:t xml:space="preserve">The Structure of Conservation in Britain</w:t>
      </w:r>
    </w:p>
    <w:p>
      <w:pPr>
        <w:spacing w:after="200" w:line="300"/>
        <w:jc w:val="both"/>
      </w:pPr>
      <w:r>
        <w:rPr>
          <w:rFonts w:ascii="Garamond" w:cs="Garamond" w:eastAsia="Garamond" w:hAnsi="Garamond"/>
          <w:i w:val="false"/>
          <w:iCs w:val="false"/>
          <w:sz w:val="24"/>
          <w:szCs w:val="24"/>
        </w:rPr>
        <w:t xml:space="preserve">The key area concept in British conservation strategy has already been mentioned. This concept has been expressed most significantly in the statutory declaration of a series of 150 National Nature Reserves, which provide the means of safeguarding many important sites, and in the notification of some 3,500 sites of special scientific interest. The growth of the voluntary conservation bodies movement has led to the establishment of more than 1,000 nature reserves, many of them also of national importance but without statutory protection (Ratcliffe 1977).</w:t>
      </w:r>
    </w:p>
    <w:p>
      <w:pPr>
        <w:spacing w:after="200" w:line="300"/>
        <w:jc w:val="both"/>
      </w:pPr>
      <w:r>
        <w:rPr>
          <w:rFonts w:ascii="Garamond" w:cs="Garamond" w:eastAsia="Garamond" w:hAnsi="Garamond"/>
          <w:i w:val="false"/>
          <w:iCs w:val="false"/>
          <w:sz w:val="24"/>
          <w:szCs w:val="24"/>
        </w:rPr>
        <w:t xml:space="preserve">These voluntary organisations have largely arisen because of the vacuum that exists between the two Government administrative bodies which were created under the 1949 National Parks and Access to the Countryside Act. These two bodies are now called the Countryside Commission and the Nature Conservancy Council. The former largely attempts to satisfy and encourage an increasing demand for outdoor recreation caused by increased leisure time and mobility. This demand has tended to be directed towards those areas already designated as of great national beauty and cultural importance, notably the National Parks, and Areas of Outstanding National Beauty. The latter is largely concerned with a scientific approach to conservation needs. Nevard and Penfold (1978) identified the vacuum between these two organisations and feel that the voluntary organisations which have arisen, such as the Royal Society for the Protection of Birds, and the Country Trusts for Nature Conservation, are concerned with wildlife conservation and appreciation, both aesthetics and interest in wildlife.</w:t>
      </w:r>
    </w:p>
    <w:p>
      <w:pPr>
        <w:spacing w:after="200" w:line="300"/>
        <w:jc w:val="both"/>
      </w:pPr>
      <w:r>
        <w:rPr>
          <w:rFonts w:ascii="Garamond" w:cs="Garamond" w:eastAsia="Garamond" w:hAnsi="Garamond"/>
          <w:i w:val="false"/>
          <w:iCs w:val="false"/>
          <w:sz w:val="24"/>
          <w:szCs w:val="24"/>
        </w:rPr>
        <w:t xml:space="preserve">Clearly the formulation and implementation of a uniform conservation strategy is not enhanced by the rather specific and limited roles of the two government organisations, and by the variety of voluntary conservation organisations that exist. This means that a large number of relatively small nature reserves exist, each having been set up within the frames of reference used by the conservation organisation involved. The average nature reserve is 30.5 ha. in area (Ratcliffe 1977).</w:t>
      </w:r>
    </w:p>
    <w:p>
      <w:pPr>
        <w:spacing w:after="200" w:line="300"/>
        <w:jc w:val="both"/>
      </w:pPr>
      <w:r>
        <w:rPr>
          <w:rFonts w:ascii="Garamond" w:cs="Garamond" w:eastAsia="Garamond" w:hAnsi="Garamond"/>
          <w:i w:val="false"/>
          <w:iCs w:val="false"/>
          <w:sz w:val="24"/>
          <w:szCs w:val="24"/>
        </w:rPr>
        <w:t xml:space="preserve">Applying the theory of island biogeography (MacArthur and Wilson 1967), which has stimulated much discussion in relation to its use in designing reserves for the conservation of animal species (Wilson and Willis 1975), and to the size and shape of conservation areas (Diamond 1976, Simberhoff and Abele 1976), the creation of small, isolated reserves is of little use in the conservation of mammals. A study by Picton (1979) has shown that habitat diversity, area and topographic relief is correlated with the number of mammal species in the area. The insularity of mammal populations of the larger land units increased as human economic development (e.g. agriculture, forestry) occurred. Large area and increased topographical relief tended to protect species from impact extinction. It was found that wildlife conservation programmes could restore populations to an occurrence similar to that found during historical times, most effectively in units ranging in size from 130 to 5,700 km². Sullivan and Shaffer (1975) have laid out size parameters in the context of Nearctic wilderness reserves and have also calculated expected times of persistence. The minimum satisfactory size was considered to be the area necessary to support a viable population of 10–15 adult wolves, which are the most important predators, especially of the larger ungulates. Merriam (1974) estimates that an area of 10,000 ha. would be the minimum viable size for a wilderness reserve, although the primary productivity might vary fairly considerably from one area to another (see Ziswiler 1967) and this should be considered a minimum size.</w:t>
      </w:r>
    </w:p>
    <w:p>
      <w:pPr>
        <w:spacing w:after="200" w:line="300"/>
        <w:jc w:val="both"/>
      </w:pPr>
      <w:r>
        <w:rPr>
          <w:rFonts w:ascii="Garamond" w:cs="Garamond" w:eastAsia="Garamond" w:hAnsi="Garamond"/>
          <w:i w:val="false"/>
          <w:iCs w:val="false"/>
          <w:sz w:val="24"/>
          <w:szCs w:val="24"/>
        </w:rPr>
        <w:t xml:space="preserve">Clearly if an attempt to more actively conserve British mammals is to be made, reintroducing species which existed in the past, then it will be necessary to allocate a fairly large area of land solely to this purpose. Nevard and Penfold (1978) classify potential mammal species in three categories according to danger to life and limb, and degree of disturbance to other land use activities.</w:t>
      </w:r>
    </w:p>
    <w:p>
      <w:pPr>
        <w:spacing w:after="100" w:before="200"/>
        <w:jc w:val="center"/>
      </w:pPr>
      <w:r>
        <w:rPr>
          <w:rFonts w:ascii="Garamond" w:cs="Garamond" w:eastAsia="Garamond" w:hAnsi="Garamond"/>
          <w:b/>
          <w:bCs/>
          <w:sz w:val="24"/>
          <w:szCs w:val="24"/>
        </w:rPr>
        <w:t xml:space="preserve">TABLE 1</w:t>
      </w:r>
    </w:p>
    <w:p>
      <w:pPr>
        <w:spacing w:after="300"/>
        <w:jc w:val="center"/>
      </w:pPr>
      <w:r>
        <w:rPr>
          <w:rFonts w:ascii="Garamond" w:cs="Garamond" w:eastAsia="Garamond" w:hAnsi="Garamond"/>
          <w:i/>
          <w:iCs/>
          <w:sz w:val="22"/>
          <w:szCs w:val="22"/>
        </w:rPr>
        <w:t xml:space="preserve">A provisional classification of the habitat requirements of large European mammals in relation to agriculture and forestry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c>
          <w:tcPr>
            <w:tcW w:type="dxa" w:w="3000"/>
            <w:shd w:fill="D9D9D9" w:val="clear"/>
            <w:tcMar>
              <w:top w:type="dxa" w:w="80"/>
              <w:left w:type="dxa" w:w="100"/>
              <w:bottom w:type="dxa" w:w="80"/>
              <w:right w:type="dxa" w:w="100"/>
            </w:tcMar>
          </w:tcPr>
          <w:p>
            <w:r>
              <w:rPr>
                <w:rFonts w:ascii="Garamond" w:cs="Garamond" w:eastAsia="Garamond" w:hAnsi="Garamond"/>
                <w:b/>
                <w:bCs/>
                <w:sz w:val="20"/>
                <w:szCs w:val="20"/>
              </w:rPr>
              <w:t xml:space="preserve">I. Wild Conditions</w:t>
            </w:r>
          </w:p>
        </w:tc>
        <w:tc>
          <w:tcPr>
            <w:tcW w:type="dxa" w:w="3000"/>
            <w:shd w:fill="D9D9D9" w:val="clear"/>
            <w:tcMar>
              <w:top w:type="dxa" w:w="80"/>
              <w:left w:type="dxa" w:w="100"/>
              <w:bottom w:type="dxa" w:w="80"/>
              <w:right w:type="dxa" w:w="100"/>
            </w:tcMar>
          </w:tcPr>
          <w:p>
            <w:r>
              <w:rPr>
                <w:rFonts w:ascii="Garamond" w:cs="Garamond" w:eastAsia="Garamond" w:hAnsi="Garamond"/>
                <w:b/>
                <w:bCs/>
                <w:sz w:val="20"/>
                <w:szCs w:val="20"/>
              </w:rPr>
              <w:t xml:space="preserve">II. Forestry and low intensity agriculture</w:t>
            </w:r>
          </w:p>
        </w:tc>
        <w:tc>
          <w:tcPr>
            <w:tcW w:type="dxa" w:w="3000"/>
            <w:shd w:fill="D9D9D9" w:val="clear"/>
            <w:tcMar>
              <w:top w:type="dxa" w:w="80"/>
              <w:left w:type="dxa" w:w="100"/>
              <w:bottom w:type="dxa" w:w="80"/>
              <w:right w:type="dxa" w:w="100"/>
            </w:tcMar>
          </w:tcPr>
          <w:p>
            <w:r>
              <w:rPr>
                <w:rFonts w:ascii="Garamond" w:cs="Garamond" w:eastAsia="Garamond" w:hAnsi="Garamond"/>
                <w:b/>
                <w:bCs/>
                <w:sz w:val="20"/>
                <w:szCs w:val="20"/>
              </w:rPr>
              <w:t xml:space="preserve">III. High intensity agriculture</w:t>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Bear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Beaver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Fox</w:t>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Wolf</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Pine marten</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Badger</w:t>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Arctic Fox</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Otter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Roe Deer</w:t>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Wolverine</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Wild Cat</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Lynx</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Wild Boar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Bison</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Red Deer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Aurochs</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Elk</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Ibex</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Fallow Deer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Reindeer</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r>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Mouflon</w:t>
            </w:r>
          </w:p>
        </w:tc>
        <w:tc>
          <w:tcPr>
            <w:tcW w:type="dxa" w:w="3000"/>
            <w:tcMar>
              <w:top w:type="dxa" w:w="80"/>
              <w:left w:type="dxa" w:w="100"/>
              <w:bottom w:type="dxa" w:w="80"/>
              <w:right w:type="dxa" w:w="100"/>
            </w:tcMar>
          </w:tcPr>
          <w:p>
            <w:r>
              <w:rPr>
                <w:rFonts w:ascii="Garamond" w:cs="Garamond" w:eastAsia="Garamond" w:hAnsi="Garamond"/>
                <w:b w:val="false"/>
                <w:bCs w:val="false"/>
                <w:sz w:val="20"/>
                <w:szCs w:val="20"/>
              </w:rPr>
              <w:t xml:space="preserve"/>
            </w:r>
          </w:p>
        </w:tc>
      </w:tr>
    </w:tbl>
    <w:p>
      <w:pPr>
        <w:spacing w:after="200" w:before="300"/>
      </w:pPr>
    </w:p>
    <w:p>
      <w:pPr>
        <w:spacing w:after="200" w:line="300"/>
        <w:jc w:val="both"/>
      </w:pPr>
      <w:r>
        <w:rPr>
          <w:rFonts w:ascii="Garamond" w:cs="Garamond" w:eastAsia="Garamond" w:hAnsi="Garamond"/>
          <w:i w:val="false"/>
          <w:iCs w:val="false"/>
          <w:sz w:val="24"/>
          <w:szCs w:val="24"/>
        </w:rPr>
        <w:t xml:space="preserve">A large number of the important predators are included in group I, emphasising the importance of having an isolated location if a mammal reserve is to be established.</w:t>
      </w:r>
    </w:p>
    <w:p>
      <w:pPr>
        <w:spacing w:after="200" w:line="300"/>
        <w:jc w:val="both"/>
      </w:pPr>
      <w:r>
        <w:rPr>
          <w:rFonts w:ascii="Garamond" w:cs="Garamond" w:eastAsia="Garamond" w:hAnsi="Garamond"/>
          <w:i w:val="false"/>
          <w:iCs w:val="false"/>
          <w:sz w:val="24"/>
          <w:szCs w:val="24"/>
        </w:rPr>
        <w:t xml:space="preserve">The creation of a unified conservation authority with the responsibility for conservation, wildlife management, pest control and research at a national level might be able to recognize the importance of such a reserve and have sufficient resources to be able to have a good chance of achieving its establishment, while at present the large number of relatively small organisations would seem to have little chance of achieving such an aim, especially when their resources are compared to those of M.A.F.F.'s, which would inevitably be the main objector to such a scheme. Additionally such an organisation could help to give conservation a clearer rationale, and would help to solve legislative discrepancies. The nature of existing wildlife legislation is one of the major obstacles to constructive thinking concerning wildlife conservation. At present it is split in motives between wildlife conservation, humanitarian concern and pest control, and in responsibility between the Department of the Environment, Home Office and M.A.F.F. For example, if reintroductions, or introductions were to be made for conservation purposes then the degree of protection afforded to it would be uncertain. This is largely due to the unclear wording of the Animals Act 1971, concerning claims for damages. The Wild Deer Act 1963 lays down close seasons for deer in England and Wales, but it is more of a welfare act than a conservation one. The Badgers Act 1973 recognized the badger as a largely harmless animal; gassing, digging etc. were banned, except gassing of specified sets where badgers could be “convincingly” implicated in the transmission of bovine tuberculosis. At present the only vertebrates covered by comprehensive protective legislation are birds.</w:t>
      </w:r>
    </w:p>
    <w:p>
      <w:pPr>
        <w:spacing w:after="200" w:line="300"/>
        <w:jc w:val="both"/>
      </w:pPr>
      <w:r>
        <w:rPr>
          <w:rFonts w:ascii="Garamond" w:cs="Garamond" w:eastAsia="Garamond" w:hAnsi="Garamond"/>
          <w:i w:val="false"/>
          <w:iCs w:val="false"/>
          <w:sz w:val="24"/>
          <w:szCs w:val="24"/>
        </w:rPr>
        <w:t xml:space="preserve">One other area that would aid nature conservation in Britain was recognized by the Nature Conservancy Council (1977) in a call for a national land use strategy. A national wildlife management plan would be a fitting adjunct to this and would be one which should allow the more active conservation of mammals. However, at present nature conservation has a strategy which, at best, does little to preserve our remaining existing mammal species.</w:t>
      </w:r>
    </w:p>
    <w:p>
      <w:pPr>
        <w:spacing w:after="200" w:line="300"/>
        <w:jc w:val="both"/>
      </w:pPr>
      <w:r>
        <w:rPr>
          <w:rFonts w:ascii="Garamond" w:cs="Garamond" w:eastAsia="Garamond" w:hAnsi="Garamond"/>
          <w:i w:val="false"/>
          <w:iCs w:val="false"/>
          <w:sz w:val="24"/>
          <w:szCs w:val="24"/>
        </w:rPr>
        <w:t xml:space="preserve">The Nature Conservation Review (1977) has been a decade in preparation and has been accepted as a significant document in deciding the strategy of British nature conservation. It is designed as a scientific description and appraisal of habitats and sites, but it emphasised that it is not a programme for reserve establishment. It is, however, intended to provide a new basis for planning such a programme at a national level.</w:t>
      </w:r>
    </w:p>
    <w:p>
      <w:pPr>
        <w:spacing w:after="200" w:line="300"/>
        <w:jc w:val="both"/>
      </w:pPr>
      <w:r>
        <w:rPr>
          <w:rFonts w:ascii="Garamond" w:cs="Garamond" w:eastAsia="Garamond" w:hAnsi="Garamond"/>
          <w:i w:val="false"/>
          <w:iCs w:val="false"/>
          <w:sz w:val="24"/>
          <w:szCs w:val="24"/>
        </w:rPr>
        <w:t xml:space="preserve">A number of criteria proposed by Ratcliffe (1971) were used both for the assessment, and selection of key sites of greatest conservation interest. The concept of key sites is explained and a distinction is drawn between the different functions that sites may perform, but no attempt was made to distinguish sets of criteria on the basis of the intended functions of a site, thus no distinction is drawn between the requirements of reserves for different conservation functions. In this respect the conservation of mammals is a much neglected area. In addition few of the criteria can be considered as true “principles”, defined in the Oxford English Dictionary as “to be taken as standards in judging”. A number of other criticisms have been levelled at the criteria used, probably most severely by Adams and Rose (1978). They point out that a large subjective element is involved in their application, as is admitted by Ratcliffe (1977). Many of the criteria are loosely defined, and some overlapped and conflicted. Hooper (1978) discusses the criteria in detail and distinguishes seventeen different criteria within the ten used in the Review. Overall, the Review gives the air of having been designed more to justify decisions that have been taken in the past, rather than to set out a framework to facilitate decision making in the future. For example the criterion of “intrinsic appeal” seems to be an admission that reserve selection need not be based on the preceding nine criteria, and is an excuse for the disproportionately large effort that tends to be applied to the conservation of areas for attractive or fashionable species, for example chalk grassland and bird reserves.</w:t>
      </w:r>
    </w:p>
    <w:p>
      <w:pPr>
        <w:spacing w:after="200" w:line="300"/>
        <w:jc w:val="both"/>
      </w:pPr>
      <w:r>
        <w:rPr>
          <w:rFonts w:ascii="Garamond" w:cs="Garamond" w:eastAsia="Garamond" w:hAnsi="Garamond"/>
          <w:i w:val="false"/>
          <w:iCs w:val="false"/>
          <w:sz w:val="24"/>
          <w:szCs w:val="24"/>
        </w:rPr>
        <w:t xml:space="preserve">Little attention has been given to the conservation of existing mammals, as witnessed by the following quote from the Review:</w:t>
      </w:r>
    </w:p>
    <w:p>
      <w:pPr>
        <w:spacing w:after="200" w:line="300"/>
        <w:ind w:left="480" w:right="480"/>
        <w:jc w:val="both"/>
      </w:pPr>
      <w:r>
        <w:rPr>
          <w:rFonts w:ascii="Garamond" w:cs="Garamond" w:eastAsia="Garamond" w:hAnsi="Garamond"/>
          <w:i/>
          <w:iCs/>
          <w:sz w:val="22"/>
          <w:szCs w:val="22"/>
        </w:rPr>
        <w:t xml:space="preserve">“Many of the more widespread and widely adapted animals are likely to remain fairly numerous in the future despite forseeable environmental change, and there is no need for undue concern about those which will look after themselves.”</w:t>
      </w:r>
    </w:p>
    <w:p>
      <w:pPr>
        <w:spacing w:after="200" w:line="300"/>
        <w:jc w:val="both"/>
      </w:pPr>
      <w:r>
        <w:rPr>
          <w:rFonts w:ascii="Garamond" w:cs="Garamond" w:eastAsia="Garamond" w:hAnsi="Garamond"/>
          <w:i w:val="false"/>
          <w:iCs w:val="false"/>
          <w:sz w:val="24"/>
          <w:szCs w:val="24"/>
        </w:rPr>
        <w:t xml:space="preserve">This attitude seems unjustified in view of the present scarcity of certain species such as the otter and the pine marten, and could even endanger the abundance of species such as the fox. Cox (1979) reports the recent upsurge in fox snaring for the fur trade abroad. A good dog pelt in winter coat can fetch up to £30. In 1978 the largest company in the fur trade added over 1,000 new suppliers to its existing list of several thousand.</w:t>
      </w:r>
    </w:p>
    <w:p>
      <w:pPr>
        <w:spacing w:after="200" w:line="300"/>
        <w:jc w:val="both"/>
      </w:pPr>
      <w:r>
        <w:rPr>
          <w:rFonts w:ascii="Garamond" w:cs="Garamond" w:eastAsia="Garamond" w:hAnsi="Garamond"/>
          <w:i w:val="false"/>
          <w:iCs w:val="false"/>
          <w:sz w:val="24"/>
          <w:szCs w:val="24"/>
        </w:rPr>
        <w:t xml:space="preserve">Another quote from the Review admits the lack of attention given to mammals, but misinterprets quite severely areas of public interest:</w:t>
      </w:r>
    </w:p>
    <w:p>
      <w:pPr>
        <w:spacing w:after="200" w:line="300"/>
        <w:ind w:left="480" w:right="480"/>
        <w:jc w:val="both"/>
      </w:pPr>
      <w:r>
        <w:rPr>
          <w:rFonts w:ascii="Garamond" w:cs="Garamond" w:eastAsia="Garamond" w:hAnsi="Garamond"/>
          <w:i/>
          <w:iCs/>
          <w:sz w:val="22"/>
          <w:szCs w:val="22"/>
        </w:rPr>
        <w:t xml:space="preserve">“the selection of key sites is based on assessment of scientific interest defined primarily in vegetational terms, and only a minority are chosen because of the high value placed on fauna (or animals in a loose sense). The distribution of emphasis has been partly a measure of acknowledged public interest, and partly of the special and often local interests of individual scientists concerned with the Review. Thus special weight has been given to representation of birds in general and Lepidoptera as the most popular groups of animals.”</w:t>
      </w:r>
    </w:p>
    <w:p>
      <w:pPr>
        <w:spacing w:after="200" w:line="300"/>
        <w:jc w:val="both"/>
      </w:pPr>
      <w:r>
        <w:rPr>
          <w:rFonts w:ascii="Garamond" w:cs="Garamond" w:eastAsia="Garamond" w:hAnsi="Garamond"/>
          <w:i w:val="false"/>
          <w:iCs w:val="false"/>
          <w:sz w:val="24"/>
          <w:szCs w:val="24"/>
        </w:rPr>
        <w:t xml:space="preserve">In fact relatively little work has been carried out to identify where public interest does lie. The voluntary conservation organisations have arisen because of the vacuum that exists between the two government organisations, and Lowe (1979, pers. comm.) feels that people join these organisations for purposive, solidary and material benefits. Harry, Gale and Hendee (1969) have shown that a large proportion of those involved in conservation are upper middle-class, in professional occupations, and are largely urban-based, which partially explains the success of many of the voluntary organisations, but does not necessarily acknowledge, identify or measure the areas of general public interest. The rising memberships of the R.S.P.B., which rose from 63,000 to over 240,000 between 1950 and 1977, and that of the County Trusts, which rose from 850 to over 100,000 over the same period, are a measure of increasing public awareness and a desire to become involved in conservation, but do not necessarily reflect the areas where they gain most enjoyment, or would like to gain most enjoyment.</w:t>
      </w:r>
    </w:p>
    <w:p>
      <w:pPr>
        <w:spacing w:after="200" w:line="300"/>
        <w:jc w:val="both"/>
      </w:pPr>
      <w:r>
        <w:rPr>
          <w:rFonts w:ascii="Garamond" w:cs="Garamond" w:eastAsia="Garamond" w:hAnsi="Garamond"/>
          <w:i w:val="false"/>
          <w:iCs w:val="false"/>
          <w:sz w:val="24"/>
          <w:szCs w:val="24"/>
        </w:rPr>
        <w:t xml:space="preserve">A study carried out by Everett (1978) in the Dalby Forest, Yorkshire, found that over 74% of the visitors hoped to see some form of wildlife, where over 200 species were mentioned as being of particular interest. Mammals were found to be the group that most people wanted to see, whereas birds were the group they had seen most. With mammals there was a high correlation between body length and the number of visitors who had hoped to see a particular species. There was an overwhelming preference for the larger mammals such as deer, badgers and foxes. This desire to observe large spectacular species set in a background of functioning ecosystems is identified by Nevard and Penfold (1978) and called “intermediate demand”, and they feel it is to a large extent unsatisfied by current conservation practices. For example many people will pay to see a tiger in a zoo, but there remain a large number of people who are willing and able to pay to see the same animal in a wild situation. The nature of this interest has been recognized by commercial organisations. The Peregrine Holiday brochure states, “At Kanha there was a parkland atmosphere, superb herds of Blackbuck, chital and other deer which rivalled the experience of Africa, but above all there were superb daylight views of the tiger.”</w:t>
      </w:r>
    </w:p>
    <w:p>
      <w:pPr>
        <w:spacing w:after="200" w:line="300"/>
        <w:jc w:val="both"/>
      </w:pPr>
      <w:r>
        <w:rPr>
          <w:rFonts w:ascii="Garamond" w:cs="Garamond" w:eastAsia="Garamond" w:hAnsi="Garamond"/>
          <w:i w:val="false"/>
          <w:iCs w:val="false"/>
          <w:sz w:val="24"/>
          <w:szCs w:val="24"/>
        </w:rPr>
        <w:t xml:space="preserve">It has already been pointed out that one of the main problems in nature conservation lies in the tremendous investments that are required, but it may be possible to raise funds through the more active conservation of mammals, particularly the larger, more spectacular species, utilizing this “intermediate” demand. In many other countries tourism and recreation are largely dependent on wildlife. This is notably the case in Africa. Since 1968 Kenya's tourism income has been the largest source of national revenue; in 1970 it brought in £44 million in foreign exchange through 232,000 visitors. In Uganda tourism is the fourth biggest industry, and the sixth biggest in Tanzania. The majority of tourists go primarily to see the national parks and nature reserves (Curry-Lindahl 1972). Clearly the economics of mammal conservation need to be more closely considered.</w:t>
      </w:r>
    </w:p>
    <w:p>
      <w:pPr>
        <w:spacing w:after="200" w:line="300"/>
        <w:jc w:val="both"/>
      </w:pPr>
      <w:r>
        <w:rPr>
          <w:rFonts w:ascii="Garamond" w:cs="Garamond" w:eastAsia="Garamond" w:hAnsi="Garamond"/>
          <w:i w:val="false"/>
          <w:iCs w:val="false"/>
          <w:sz w:val="24"/>
          <w:szCs w:val="24"/>
        </w:rPr>
        <w:t xml:space="preserve">Another area that also fully deserves greater research is in the interactions between wildlife, countryside visitors, and society. Everett (1978) feels that past research has tended to concentrate on the disturbance of flora and fauna caused by visitors and has failed to research wildlife's positive and negative effects on the visitors, and through them on society. Moore and Paine (1978) found that “agression”, “anxiety”, “sadness”, “scepticism”, “egotism”, “vigour”, and “concentration” decreased whereas “elation” and “fatigue” increased, when people visited natural areas, although the quality and content of the area was not considered.</w:t>
      </w:r>
    </w:p>
    <w:p>
      <w:pPr>
        <w:spacing w:after="200" w:line="300"/>
        <w:jc w:val="both"/>
      </w:pPr>
      <w:r>
        <w:rPr>
          <w:rFonts w:ascii="Garamond" w:cs="Garamond" w:eastAsia="Garamond" w:hAnsi="Garamond"/>
          <w:i w:val="false"/>
          <w:iCs w:val="false"/>
          <w:sz w:val="24"/>
          <w:szCs w:val="24"/>
        </w:rPr>
        <w:t xml:space="preserve">A further area for greater research lies in the ecology of mammal species. In the British case it may well be that past components of natural trophic systems, such as the large carnivores and ungulates, which no longer exist in Britain, held down species abundances, through predation or grazing, and facilitated coexistence by preventing resources from becoming limiting (Paine 1969). For example, it has been suggested that poor regeneration in British woodlands may be related to heavy grazing of seed and seedlings by herbivore populations, which are abnormally high because of low or absent predator populations. Other absentees like the wild boar might be involved as well, through the failure of seeds to germinate in the absence of the disturbed ground their hooves produce (Green 1978). May (1976) records that when sea otters were introduced to a community of littoral and sub-littoral animals on the Pacific coast of the U.S.A., the numbers of filter-feeding molluscs, invertebrates and grazers decreased in abundance but not diversity, whilst kelp itself increased in numbers of species and abundance. Formerly the system had included the Giant Sea-Cow, a large grazer, but which is now extinct.</w:t>
      </w:r>
    </w:p>
    <w:p>
      <w:pPr>
        <w:spacing w:after="200" w:line="300"/>
        <w:jc w:val="both"/>
      </w:pPr>
      <w:r>
        <w:rPr>
          <w:rFonts w:ascii="Garamond" w:cs="Garamond" w:eastAsia="Garamond" w:hAnsi="Garamond"/>
          <w:i w:val="false"/>
          <w:iCs w:val="false"/>
          <w:sz w:val="24"/>
          <w:szCs w:val="24"/>
        </w:rPr>
        <w:t xml:space="preserve">Overall it would seem that for a variety of reasons mammals have been a largely ignored area in conservation, but it would appear that the more active conservation of mammals could be of benefit in a number of areas. The more active conservation of mammals would involve the reintroduction, and possibly the introduction, of a number of species. The utilization of mammals in this way for achieving some of the aims of conservation in Britain is a concept which Wilson and Willis (1975) call “ecosystem manipulation”, or “planned biotic enrichment”, as the creation of artificial ecosystems through the release of formerly absent types. Elton (1958) states, “I see no reason why the reconstitution of communities should not include a careful selection of exotic forms, especially as many of these are going to arrive in due course and occupy some niche.” This attitude seems realistic in view of the predominance of semi-natural habitats in Britain, and in view of the “exotics” that agriculture, herbiculture and forestry have introduced. It may be possible to introduce species associated with these introductions. However a fundamental difference exists between the terms of reference used by these industries and conservation. The former are dominated by the maximisation of productivity and profit, with the natural environment as a secondary consideration. Hicks (1940) feels that wildlife should be managed according to performance records dictating the species upon which the greatest management efforts should be centred, but only utilizing and managing reintroduced and introduced species where they contribute most and detract least from what already existed. The problems lie in scientifically assessing the actual impacts of any such reintroduction or introductions.</w:t>
      </w:r>
    </w:p>
    <w:p>
      <w:r>
        <w:br w:type="page"/>
      </w:r>
    </w:p>
    <w:p>
      <w:pPr>
        <w:pStyle w:val="Heading1"/>
        <w:spacing w:after="240" w:before="400"/>
      </w:pPr>
      <w:r>
        <w:rPr>
          <w:rFonts w:ascii="Garamond" w:cs="Garamond" w:eastAsia="Garamond" w:hAnsi="Garamond"/>
          <w:b/>
          <w:bCs/>
          <w:sz w:val="28"/>
          <w:szCs w:val="28"/>
        </w:rPr>
        <w:t xml:space="preserve">The Use of Mammal Reintroductions and Introductions</w:t>
      </w:r>
    </w:p>
    <w:p>
      <w:pPr>
        <w:spacing w:after="200" w:line="300"/>
        <w:jc w:val="both"/>
      </w:pPr>
      <w:r>
        <w:rPr>
          <w:rFonts w:ascii="Garamond" w:cs="Garamond" w:eastAsia="Garamond" w:hAnsi="Garamond"/>
          <w:i w:val="false"/>
          <w:iCs w:val="false"/>
          <w:sz w:val="24"/>
          <w:szCs w:val="24"/>
        </w:rPr>
        <w:t xml:space="preserve">The use of reintroductions and introductions as a conservation management tool is not an entirely new practice. For example, red squirrels were reintroduced to Scotland, England and Ireland in the 18th and 19th centuries (Tittensor 1977), and the capercaillie to Scotland in 1837/8 (Newlands 1976). More recently attention has been focussed by the N.C.C.'s reintroduction of the White-Tailed Sea Eagle to Rhum in 1977, and the reintroduction of the Great Bustard on Salisbury Plain (Collar 1976). Sitwell (1977) put forward a proposal in “Wildlife” magazine to reintroduce the beaver (Castor fiber), following earlier less detailed proposals by Wayre (1974). The largest scale reintroduction programme was proposed by Nevard (1976) and Nevard and Penfold (1978), who felt that the Isle of Rhum National Nature Reserve, with its isolated location, would serve as an ideal site for the reintroduction and introduction of a number of mammal and bird species. Their main proposals concern the larger, more spectacular species, but it is recognized that many other species, plants, small vertebrates and invertebrates would have to be considered for introduction to create a functioning ecosystem. Such a reserve would occupy a unique position in Europe and would constitute one of the largest and most complex conservation experiments ever.</w:t>
      </w:r>
    </w:p>
    <w:p>
      <w:pPr>
        <w:spacing w:after="200" w:line="300"/>
        <w:jc w:val="both"/>
      </w:pPr>
      <w:r>
        <w:rPr>
          <w:rFonts w:ascii="Garamond" w:cs="Garamond" w:eastAsia="Garamond" w:hAnsi="Garamond"/>
          <w:i w:val="false"/>
          <w:iCs w:val="false"/>
          <w:sz w:val="24"/>
          <w:szCs w:val="24"/>
        </w:rPr>
        <w:t xml:space="preserve">It is felt by Nevard (1976) that Rhum, which has an area of 11,000 ha., is sufficiently large to be able to support the variety of species which are proposed. It might be pertinent, however, to consider the claims of upland hill-farming in many areas of Britain, as a larger area of land might well be more desirable and viable. In the last 30 years hill farming legislation has given MAFF a charter to operate an agricultural support policy through a system of grants and subsidies, but no economic justification can be made for hill farming solely on the grounds of food production (James 1974 and Sinclair 1976). Presently government support can only be justified, socially, to conserve communities, landscape, and more debateably, an emergency food supply. If a sound economic case could be made for the establishment of a faunal reserve, probably based on tourism, then it could prove a more valuable land use and would also preserve the landscape, as well as creating much scientific, educational and public interest. The problems lie in presenting a sound, well-founded economic base, which would involve a detailed cost/benefit analysis, and environmental impact analysis, but income and impact would be difficult to assess accurately in such a novel situation.</w:t>
      </w:r>
    </w:p>
    <w:p>
      <w:pPr>
        <w:spacing w:after="200" w:line="300"/>
        <w:jc w:val="both"/>
      </w:pPr>
      <w:r>
        <w:rPr>
          <w:rFonts w:ascii="Garamond" w:cs="Garamond" w:eastAsia="Garamond" w:hAnsi="Garamond"/>
          <w:i w:val="false"/>
          <w:iCs w:val="false"/>
          <w:sz w:val="24"/>
          <w:szCs w:val="24"/>
        </w:rPr>
        <w:t xml:space="preserve">Besides attempting to create a faunal wilderness reserve, more active conservation of mammals would involve the introduction and reintroduction of perhaps one or two species on a smaller, more localised scale, where the individual species concerned might prove acceptable to other land uses (see Table 1). Pinder (1978), for instance, presents a very carefully considered and evaluated case for the reintroduction of the beaver (Castor fiber). One of the major problems which would be encountered in this area is the weight of feeling against introductions, and to a lesser extent reintroductions, although it is interesting that the desirability of reintroducing a species is generally inversely proportional to the duration of its absence. Generally speaking the pessimistic view, that introductions are a bad thing, is widely held, largely in view of past “accidental” introductions. Table 2 shows the mammal species that have been introduced to Great Britain, and it is hardly surprising that many economic activities, such as agriculture and forestry, hold reservations about introductions in view of the effect that species such as the brown rat, house mouse, mink, coypu and grey squirrel have had, but the distinction between accidental and intentional tends to be social rather than biological. Obviously any future introductions must be carefully controlled.</w:t>
      </w:r>
    </w:p>
    <w:p>
      <w:pPr>
        <w:spacing w:after="200" w:line="300"/>
        <w:jc w:val="both"/>
      </w:pPr>
      <w:r>
        <w:rPr>
          <w:rFonts w:ascii="Garamond" w:cs="Garamond" w:eastAsia="Garamond" w:hAnsi="Garamond"/>
          <w:i w:val="false"/>
          <w:iCs w:val="false"/>
          <w:sz w:val="24"/>
          <w:szCs w:val="24"/>
        </w:rPr>
        <w:t xml:space="preserve">Rose (1978) has considered the fate of introductions in the light of recent ecological theory, such as niche, predation, competition, fecundity, life strategies, dispersal and island biogeography (see Pianka 1976, May 1976 and Diamond and May 1976). He concludes that generalisations are impossible, and that trial by experiment provides the only reliable means of assessment. Green (1978) feels that considerations of niche theory and island biogeography offer the best guides as to the likely effects of introductions.</w:t>
      </w:r>
    </w:p>
    <w:p>
      <w:pPr>
        <w:spacing w:after="200" w:line="300"/>
        <w:jc w:val="both"/>
      </w:pPr>
      <w:r>
        <w:rPr>
          <w:rFonts w:ascii="Garamond" w:cs="Garamond" w:eastAsia="Garamond" w:hAnsi="Garamond"/>
          <w:i w:val="false"/>
          <w:iCs w:val="false"/>
          <w:sz w:val="24"/>
          <w:szCs w:val="24"/>
        </w:rPr>
        <w:t xml:space="preserve">The ecological effects of past introduction of animal species has been discussed by a number of workers, including DeVos and Petrides (1967), Gottschalk (1967), Holdgate (1967), Fitter (1967), Lever (1977), Taylor (1968), DeVos, Manville and Van Gelder (1955) and Bump (1940, 1951, 1963 and 1968).</w:t>
      </w:r>
    </w:p>
    <w:p>
      <w:pPr>
        <w:spacing w:after="200" w:line="300"/>
        <w:jc w:val="both"/>
      </w:pPr>
      <w:r>
        <w:rPr>
          <w:rFonts w:ascii="Garamond" w:cs="Garamond" w:eastAsia="Garamond" w:hAnsi="Garamond"/>
          <w:i w:val="false"/>
          <w:iCs w:val="false"/>
          <w:sz w:val="24"/>
          <w:szCs w:val="24"/>
        </w:rPr>
        <w:t xml:space="preserve">The distinction between an introduction and a reintroduction is to a large extent artificial in ecological terms, as has already been noted, but it is interesting to note that the concept of a fauna, which has been extended by Yapp (1972) to include all species within one zoogeographic boundary on the basis of coevolution, has been further extended by Reicholf (1976), who makes no distinction between the two terms, visualising an almost totally dynamic state in the term fauna, which is a somewhat unreal assumption in view of natural barriers to migration, and the element of time. It is also interesting to note that 17 of the species introduced to Britain are included in handbooks and field guides to “British” mammals, for example Van den Brink, and Southern (1977). Their importance should be realised when it is considered that only 37 native species of mammal still exist in Britain, including bats and smaller rodents.</w:t>
      </w:r>
    </w:p>
    <w:p>
      <w:pPr>
        <w:spacing w:after="100" w:before="200"/>
        <w:jc w:val="center"/>
      </w:pPr>
      <w:r>
        <w:rPr>
          <w:rFonts w:ascii="Garamond" w:cs="Garamond" w:eastAsia="Garamond" w:hAnsi="Garamond"/>
          <w:b/>
          <w:bCs/>
          <w:sz w:val="24"/>
          <w:szCs w:val="24"/>
        </w:rPr>
        <w:t xml:space="preserve">TABLE 2</w:t>
      </w:r>
    </w:p>
    <w:p>
      <w:pPr>
        <w:spacing w:after="300"/>
        <w:jc w:val="center"/>
      </w:pPr>
      <w:r>
        <w:rPr>
          <w:rFonts w:ascii="Garamond" w:cs="Garamond" w:eastAsia="Garamond" w:hAnsi="Garamond"/>
          <w:i/>
          <w:iCs/>
          <w:sz w:val="22"/>
          <w:szCs w:val="22"/>
        </w:rPr>
        <w:t xml:space="preserve">Introduced Mammal Species</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2600"/>
        <w:gridCol w:w="1100"/>
        <w:gridCol w:w="1300"/>
        <w:gridCol w:w="2000"/>
        <w:gridCol w:w="2500"/>
      </w:tblGrid>
      <w:tr>
        <w:tc>
          <w:tcPr>
            <w:tcW w:type="dxa" w:w="2600"/>
            <w:shd w:fill="D9D9D9" w:val="clear"/>
            <w:tcMar>
              <w:top w:type="dxa" w:w="80"/>
              <w:left w:type="dxa" w:w="100"/>
              <w:bottom w:type="dxa" w:w="80"/>
              <w:right w:type="dxa" w:w="100"/>
            </w:tcMar>
          </w:tcPr>
          <w:p>
            <w:r>
              <w:rPr>
                <w:rFonts w:ascii="Garamond" w:cs="Garamond" w:eastAsia="Garamond" w:hAnsi="Garamond"/>
                <w:b/>
                <w:bCs/>
                <w:sz w:val="20"/>
                <w:szCs w:val="20"/>
              </w:rPr>
              <w:t xml:space="preserve">Species</w:t>
            </w:r>
          </w:p>
        </w:tc>
        <w:tc>
          <w:tcPr>
            <w:tcW w:type="dxa" w:w="1100"/>
            <w:shd w:fill="D9D9D9" w:val="clear"/>
            <w:tcMar>
              <w:top w:type="dxa" w:w="80"/>
              <w:left w:type="dxa" w:w="100"/>
              <w:bottom w:type="dxa" w:w="80"/>
              <w:right w:type="dxa" w:w="100"/>
            </w:tcMar>
          </w:tcPr>
          <w:p>
            <w:r>
              <w:rPr>
                <w:rFonts w:ascii="Garamond" w:cs="Garamond" w:eastAsia="Garamond" w:hAnsi="Garamond"/>
                <w:b/>
                <w:bCs/>
                <w:sz w:val="20"/>
                <w:szCs w:val="20"/>
              </w:rPr>
              <w:t xml:space="preserve">Date</w:t>
            </w:r>
          </w:p>
        </w:tc>
        <w:tc>
          <w:tcPr>
            <w:tcW w:type="dxa" w:w="1300"/>
            <w:shd w:fill="D9D9D9" w:val="clear"/>
            <w:tcMar>
              <w:top w:type="dxa" w:w="80"/>
              <w:left w:type="dxa" w:w="100"/>
              <w:bottom w:type="dxa" w:w="80"/>
              <w:right w:type="dxa" w:w="100"/>
            </w:tcMar>
          </w:tcPr>
          <w:p>
            <w:r>
              <w:rPr>
                <w:rFonts w:ascii="Garamond" w:cs="Garamond" w:eastAsia="Garamond" w:hAnsi="Garamond"/>
                <w:b/>
                <w:bCs/>
                <w:sz w:val="20"/>
                <w:szCs w:val="20"/>
              </w:rPr>
              <w:t xml:space="preserve">Method</w:t>
            </w:r>
          </w:p>
        </w:tc>
        <w:tc>
          <w:tcPr>
            <w:tcW w:type="dxa" w:w="2000"/>
            <w:shd w:fill="D9D9D9" w:val="clear"/>
            <w:tcMar>
              <w:top w:type="dxa" w:w="80"/>
              <w:left w:type="dxa" w:w="100"/>
              <w:bottom w:type="dxa" w:w="80"/>
              <w:right w:type="dxa" w:w="100"/>
            </w:tcMar>
          </w:tcPr>
          <w:p>
            <w:r>
              <w:rPr>
                <w:rFonts w:ascii="Garamond" w:cs="Garamond" w:eastAsia="Garamond" w:hAnsi="Garamond"/>
                <w:b/>
                <w:bCs/>
                <w:sz w:val="20"/>
                <w:szCs w:val="20"/>
              </w:rPr>
              <w:t xml:space="preserve">Distribution</w:t>
            </w:r>
          </w:p>
        </w:tc>
        <w:tc>
          <w:tcPr>
            <w:tcW w:type="dxa" w:w="2500"/>
            <w:shd w:fill="D9D9D9" w:val="clear"/>
            <w:tcMar>
              <w:top w:type="dxa" w:w="80"/>
              <w:left w:type="dxa" w:w="100"/>
              <w:bottom w:type="dxa" w:w="80"/>
              <w:right w:type="dxa" w:w="100"/>
            </w:tcMar>
          </w:tcPr>
          <w:p>
            <w:r>
              <w:rPr>
                <w:rFonts w:ascii="Garamond" w:cs="Garamond" w:eastAsia="Garamond" w:hAnsi="Garamond"/>
                <w:b/>
                <w:bCs/>
                <w:sz w:val="20"/>
                <w:szCs w:val="20"/>
              </w:rPr>
              <w:t xml:space="preserve">Effect</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 Red-necked wallaby (Macropus rufogrisus)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1940's</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2 small feral colonies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Little detrimental impact. Not likely to spread far</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 Greater White-toothed shrew (Crocidura russula)</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Unknown</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Alderney, Guernsey and Herm</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No detrimental impact, to economic activity</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3.* Lesser white-toothed shrew (Crocidura suaveolens)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Unknown</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Jersey, Sark, Isles of Scilly</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As above</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4.* Orkney and Guernsey voles (Microtus arvalis)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2000 B.C.</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Orkney and Guernsey</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As above. Important for raptors</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5.* Yellow-necked mouse (Apodemus flavicollus)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Unknown</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 England and Wales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Little determined impact</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6. St. Kilda field mouse (Apodemus sylvaticus hirtensis)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Unknown</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St. Kilda</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As above</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7. Mongolian gerbil (Merions unguiculatus)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1973</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Isle of Wight</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Potentially very destructive and disease carrier</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8. House mouse (Mus musculus)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Iron Age</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 Widespread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Food consumer. Disease carrier</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9.* Black rat (Rattus rattus)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11th C</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Seaports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Disease carrier — most serious threat</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10.* Brown rat (Rattus norvegicus)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1728-9</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 Widespread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Threat to food stuffs. Disease carrier</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11.* Edible dormouse (Glis glis)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1902</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Chilterns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Little determined impact</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12.* Grey squirrel (Sciurus carolinensis)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1876</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Intentional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England and Wales. Parts Scotland and Ireland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Serious forestry pest. Few predators</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13.* Rabbit (Oryctolagus cuniculus)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12th C</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 Widespread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Pest to agriculture. Important food for carnivores</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14. Coypu (Myocaster coypus)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1929</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E. Anglia</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Damage to banks, crops and flora</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15. Himalayan porcupine (Hystrix hodgsonii)</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1969</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Localised around Okehampton</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Potentially v. destructive. Eject badgers</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16.* Crested porcupine (Hystrix cristata)</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1972</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Localised around Stoke</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As for 15</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17. Polecat ferret (Mustela putorius furo)</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13th C</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Few established feral populations in N. England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Destructive to game birds</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18. North American mink (Mustela vison)</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1929</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Destructive to game and poultry. Very adaptable</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19. Domestic cat (Felis cattus)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Not very well established in wild</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20.* Chinese muntjac (Muntiacus reevsi)</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1950's</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S.E. England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Little detrimental impact</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21.* Indian muntjac (Muntiacus muntjak)</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1950's</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S.E. England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As for 20</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22.* Fallow Deer (Dama dama)</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Bronze Age</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Intentional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May cause damage in horticulture, agriculture and forestry</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23.* Japanese sika deer (Cervus nippon)</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1870's</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British Isles, Limited Distribution</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Interbreeding with red deer. Little damage</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24.* Chinese water deer (Hydropotes inermis)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1945</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Accidental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E. Anglia and S.E. England</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Little damage</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25.* Wild goat (Capra hircus)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Neolithic</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Intentional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Limited parts of British Isles</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Pest of forestry</w:t>
            </w:r>
          </w:p>
        </w:tc>
      </w:tr>
      <w:tr>
        <w:tc>
          <w:tcPr>
            <w:tcW w:type="dxa" w:w="2600"/>
            <w:tcMar>
              <w:top w:type="dxa" w:w="80"/>
              <w:left w:type="dxa" w:w="100"/>
              <w:bottom w:type="dxa" w:w="80"/>
              <w:right w:type="dxa" w:w="100"/>
            </w:tcMar>
          </w:tcPr>
          <w:p>
            <w:r>
              <w:rPr>
                <w:rFonts w:ascii="Garamond" w:cs="Garamond" w:eastAsia="Garamond" w:hAnsi="Garamond"/>
                <w:b w:val="false"/>
                <w:bCs w:val="false"/>
                <w:sz w:val="20"/>
                <w:szCs w:val="20"/>
              </w:rPr>
              <w:t xml:space="preserve">26.* Soay Sheep (Ovis aries)</w:t>
            </w:r>
          </w:p>
        </w:tc>
        <w:tc>
          <w:tcPr>
            <w:tcW w:type="dxa" w:w="1100"/>
            <w:tcMar>
              <w:top w:type="dxa" w:w="80"/>
              <w:left w:type="dxa" w:w="100"/>
              <w:bottom w:type="dxa" w:w="80"/>
              <w:right w:type="dxa" w:w="100"/>
            </w:tcMar>
          </w:tcPr>
          <w:p>
            <w:r>
              <w:rPr>
                <w:rFonts w:ascii="Garamond" w:cs="Garamond" w:eastAsia="Garamond" w:hAnsi="Garamond"/>
                <w:b w:val="false"/>
                <w:bCs w:val="false"/>
                <w:sz w:val="20"/>
                <w:szCs w:val="20"/>
              </w:rPr>
              <w:t xml:space="preserve">300 A.D.</w:t>
            </w:r>
          </w:p>
        </w:tc>
        <w:tc>
          <w:tcPr>
            <w:tcW w:type="dxa" w:w="1300"/>
            <w:tcMar>
              <w:top w:type="dxa" w:w="80"/>
              <w:left w:type="dxa" w:w="100"/>
              <w:bottom w:type="dxa" w:w="80"/>
              <w:right w:type="dxa" w:w="100"/>
            </w:tcMar>
          </w:tcPr>
          <w:p>
            <w:r>
              <w:rPr>
                <w:rFonts w:ascii="Garamond" w:cs="Garamond" w:eastAsia="Garamond" w:hAnsi="Garamond"/>
                <w:b w:val="false"/>
                <w:bCs w:val="false"/>
                <w:sz w:val="20"/>
                <w:szCs w:val="20"/>
              </w:rPr>
              <w:t xml:space="preserve">Intentional</w:t>
            </w:r>
          </w:p>
        </w:tc>
        <w:tc>
          <w:tcPr>
            <w:tcW w:type="dxa" w:w="2000"/>
            <w:tcMar>
              <w:top w:type="dxa" w:w="80"/>
              <w:left w:type="dxa" w:w="100"/>
              <w:bottom w:type="dxa" w:w="80"/>
              <w:right w:type="dxa" w:w="100"/>
            </w:tcMar>
          </w:tcPr>
          <w:p>
            <w:r>
              <w:rPr>
                <w:rFonts w:ascii="Garamond" w:cs="Garamond" w:eastAsia="Garamond" w:hAnsi="Garamond"/>
                <w:b w:val="false"/>
                <w:bCs w:val="false"/>
                <w:sz w:val="20"/>
                <w:szCs w:val="20"/>
              </w:rPr>
              <w:t xml:space="preserve">St. Kilda, Aisla Craig, Cardigan, Lundy</w:t>
            </w:r>
          </w:p>
        </w:tc>
        <w:tc>
          <w:tcPr>
            <w:tcW w:type="dxa" w:w="2500"/>
            <w:tcMar>
              <w:top w:type="dxa" w:w="80"/>
              <w:left w:type="dxa" w:w="100"/>
              <w:bottom w:type="dxa" w:w="80"/>
              <w:right w:type="dxa" w:w="100"/>
            </w:tcMar>
          </w:tcPr>
          <w:p>
            <w:r>
              <w:rPr>
                <w:rFonts w:ascii="Garamond" w:cs="Garamond" w:eastAsia="Garamond" w:hAnsi="Garamond"/>
                <w:b w:val="false"/>
                <w:bCs w:val="false"/>
                <w:sz w:val="20"/>
                <w:szCs w:val="20"/>
              </w:rPr>
              <w:t xml:space="preserve">Very little detrimental impact</w:t>
            </w:r>
          </w:p>
        </w:tc>
      </w:tr>
    </w:tbl>
    <w:p>
      <w:pPr>
        <w:spacing w:after="200" w:before="200"/>
      </w:pPr>
      <w:r>
        <w:rPr>
          <w:rFonts w:ascii="Garamond" w:cs="Garamond" w:eastAsia="Garamond" w:hAnsi="Garamond"/>
          <w:i/>
          <w:iCs/>
          <w:sz w:val="20"/>
          <w:szCs w:val="20"/>
        </w:rPr>
        <w:t xml:space="preserve">* Species included in Corbett and Southern (1977), and Van den Brink (1976). Source: Lever (1977), Fitter (1959), Corbett and Southern (1977) and Van den Brink (1976).</w:t>
      </w:r>
    </w:p>
    <w:p>
      <w:r>
        <w:br w:type="page"/>
      </w:r>
    </w:p>
    <w:p>
      <w:pPr>
        <w:spacing w:after="200" w:line="300"/>
        <w:jc w:val="both"/>
      </w:pPr>
      <w:r>
        <w:rPr>
          <w:rFonts w:ascii="Garamond" w:cs="Garamond" w:eastAsia="Garamond" w:hAnsi="Garamond"/>
          <w:i w:val="false"/>
          <w:iCs w:val="false"/>
          <w:sz w:val="24"/>
          <w:szCs w:val="24"/>
        </w:rPr>
        <w:t xml:space="preserve">There are a number of arguments commonly used against introductions and reintroductions which are laid out below, which are of a general nature.</w:t>
      </w:r>
    </w:p>
    <w:p>
      <w:pPr>
        <w:spacing w:after="200" w:line="300"/>
        <w:jc w:val="both"/>
      </w:pPr>
      <w:r>
        <w:rPr>
          <w:rFonts w:ascii="Garamond" w:cs="Garamond" w:eastAsia="Garamond" w:hAnsi="Garamond"/>
          <w:i w:val="false"/>
          <w:iCs w:val="false"/>
          <w:sz w:val="24"/>
          <w:szCs w:val="24"/>
        </w:rPr>
        <w:t xml:space="preserve">1. It is often believed that introductions will cause the extinction of native species by direct competition. For example, the grey squirrel is said to have spread at the expense of the red squirrel (Hawksworth 1974), but evidence is limited. Rose (1978) states that on a national level there is no evidence of introduced species having led to the extinction of natives, but in other cases, largely on small islands, introductions have caused extinctions (see Howard 1967 and Elton 1958).</w:t>
      </w:r>
    </w:p>
    <w:p>
      <w:pPr>
        <w:spacing w:after="200" w:line="300"/>
        <w:jc w:val="both"/>
      </w:pPr>
      <w:r>
        <w:rPr>
          <w:rFonts w:ascii="Garamond" w:cs="Garamond" w:eastAsia="Garamond" w:hAnsi="Garamond"/>
          <w:i w:val="false"/>
          <w:iCs w:val="false"/>
          <w:sz w:val="24"/>
          <w:szCs w:val="24"/>
        </w:rPr>
        <w:t xml:space="preserve">2. An argument commonly used against reintroductions is that certain animal species became extinct because of loss of habitat and there is now no room for them in modern Britain. The fact that reintroductions have taken place in other Western European countries, for example the beaver in lowland Switzerland, which is as intensively farmed and more densely populated, shows that this argument is hardly tenable in its own right, and also ignores the human persecution factor involved in the extinction of so many species. Additionally much new habitat has been created since the disappearance of some species and might provide suitable habitats for introductions or reintroductions today. Examples are provided by the large tracts of coniferous planting in Britain, and by gravel pits.</w:t>
      </w:r>
    </w:p>
    <w:p>
      <w:pPr>
        <w:spacing w:after="200" w:line="300"/>
        <w:jc w:val="both"/>
      </w:pPr>
      <w:r>
        <w:rPr>
          <w:rFonts w:ascii="Garamond" w:cs="Garamond" w:eastAsia="Garamond" w:hAnsi="Garamond"/>
          <w:i w:val="false"/>
          <w:iCs w:val="false"/>
          <w:sz w:val="24"/>
          <w:szCs w:val="24"/>
        </w:rPr>
        <w:t xml:space="preserve">3. It is often said that conservation has enough to do saving existing species, but this argument typifies a simplistic and defeatist attitude to conservation.</w:t>
      </w:r>
    </w:p>
    <w:p>
      <w:pPr>
        <w:spacing w:after="200" w:line="300"/>
        <w:jc w:val="both"/>
      </w:pPr>
      <w:r>
        <w:rPr>
          <w:rFonts w:ascii="Garamond" w:cs="Garamond" w:eastAsia="Garamond" w:hAnsi="Garamond"/>
          <w:i w:val="false"/>
          <w:iCs w:val="false"/>
          <w:sz w:val="24"/>
          <w:szCs w:val="24"/>
        </w:rPr>
        <w:t xml:space="preserve">4. A final argument is that introductions may introduce pests and diseases, but in the case of mammals a period of quarantine should eradicate this possibility.</w:t>
      </w:r>
    </w:p>
    <w:p>
      <w:pPr>
        <w:spacing w:after="200" w:line="300"/>
        <w:jc w:val="both"/>
      </w:pPr>
      <w:r>
        <w:rPr>
          <w:rFonts w:ascii="Garamond" w:cs="Garamond" w:eastAsia="Garamond" w:hAnsi="Garamond"/>
          <w:i w:val="false"/>
          <w:iCs w:val="false"/>
          <w:sz w:val="24"/>
          <w:szCs w:val="24"/>
        </w:rPr>
        <w:t xml:space="preserve">If reintroductions and introductions are to be used in conservation then the “accidental” release of species or releases taken under private initiative must be prevented. Pinder (1978) points out the need for a formal, internally self-consistent and externally objective policy, which currently does not exist. A proposed policy is offered for animal species, where the relevant authorities (a unified wildlife authority?) should grant approval to an introduction or reintroduction proposal formally submitted to them for consideration unless they, or another body of objectors, can show that one of a set of criteria is not satisfactorily met. This procedure, by imposing the onus of proof of the undesirability of a proposal on the relevant authority, permits effective challenging of the status quo, which would not be the case if the proposer had to prove the desirability of the reintroduction, and also permits democratic decision making since the public will be made aware of both the original reintroduction proposal and the reasoning behind any subsequent decision.</w:t>
      </w:r>
    </w:p>
    <w:p>
      <w:pPr>
        <w:spacing w:after="200" w:line="300"/>
        <w:jc w:val="both"/>
      </w:pPr>
      <w:r>
        <w:rPr>
          <w:rFonts w:ascii="Garamond" w:cs="Garamond" w:eastAsia="Garamond" w:hAnsi="Garamond"/>
          <w:i w:val="false"/>
          <w:iCs w:val="false"/>
          <w:sz w:val="24"/>
          <w:szCs w:val="24"/>
        </w:rPr>
        <w:t xml:space="preserve">Pinder (1978) also lays out a format for any proposals for three main reasons:</w:t>
      </w:r>
    </w:p>
    <w:p>
      <w:pPr>
        <w:spacing w:after="200" w:line="300"/>
        <w:jc w:val="both"/>
      </w:pPr>
      <w:r>
        <w:rPr>
          <w:rFonts w:ascii="Garamond" w:cs="Garamond" w:eastAsia="Garamond" w:hAnsi="Garamond"/>
          <w:i w:val="false"/>
          <w:iCs w:val="false"/>
          <w:sz w:val="24"/>
          <w:szCs w:val="24"/>
        </w:rPr>
        <w:t xml:space="preserve">(a) To provide a check list so that important points are not overlooked.</w:t>
      </w:r>
    </w:p>
    <w:p>
      <w:pPr>
        <w:spacing w:after="200" w:line="300"/>
        <w:jc w:val="both"/>
      </w:pPr>
      <w:r>
        <w:rPr>
          <w:rFonts w:ascii="Garamond" w:cs="Garamond" w:eastAsia="Garamond" w:hAnsi="Garamond"/>
          <w:i w:val="false"/>
          <w:iCs w:val="false"/>
          <w:sz w:val="24"/>
          <w:szCs w:val="24"/>
        </w:rPr>
        <w:t xml:space="preserve">(b) To facilitate decision making in that interested parties need only find and consider in detail those sections of direct relevance to their undertaking.</w:t>
      </w:r>
    </w:p>
    <w:p>
      <w:pPr>
        <w:spacing w:after="200" w:line="300"/>
        <w:jc w:val="both"/>
      </w:pPr>
      <w:r>
        <w:rPr>
          <w:rFonts w:ascii="Garamond" w:cs="Garamond" w:eastAsia="Garamond" w:hAnsi="Garamond"/>
          <w:i w:val="false"/>
          <w:iCs w:val="false"/>
          <w:sz w:val="24"/>
          <w:szCs w:val="24"/>
        </w:rPr>
        <w:t xml:space="preserve">This proposed lay-out seems admirable, but a period of testing and refinement is felt to be a necessary pre-requisite before its general implementation.</w:t>
      </w:r>
    </w:p>
    <w:p>
      <w:r>
        <w:br w:type="page"/>
      </w:r>
    </w:p>
    <w:p>
      <w:pPr>
        <w:pStyle w:val="Heading1"/>
        <w:spacing w:after="240" w:before="400"/>
      </w:pPr>
      <w:r>
        <w:rPr>
          <w:rFonts w:ascii="Garamond" w:cs="Garamond" w:eastAsia="Garamond" w:hAnsi="Garamond"/>
          <w:b/>
          <w:bCs/>
          <w:sz w:val="28"/>
          <w:szCs w:val="28"/>
        </w:rPr>
        <w:t xml:space="preserve">Summary</w:t>
      </w:r>
    </w:p>
    <w:p>
      <w:pPr>
        <w:spacing w:after="200" w:line="300"/>
        <w:jc w:val="both"/>
      </w:pPr>
      <w:r>
        <w:rPr>
          <w:rFonts w:ascii="Garamond" w:cs="Garamond" w:eastAsia="Garamond" w:hAnsi="Garamond"/>
          <w:i w:val="false"/>
          <w:iCs w:val="false"/>
          <w:sz w:val="24"/>
          <w:szCs w:val="24"/>
        </w:rPr>
        <w:t xml:space="preserve">The active practice of nature conservation in Great Britain, through a variety of means, such as legislation, science, education, creation of nature reserves etc., is a relatively new one, both in terms of the time that humans have existed in Britain, and more so, in terms of geological time. For this reason it is almost inevitable that a large number of criticisms can be levelled at the present strategy and practice. The need to maintain our existence through methods of food production is clearly recognized as of prime importance, as is the need to provide both functional and enjoyable living conditions. The conservation of nature has also been recognized in its own right, and in terms of the benefits that man can achieve through its practice.</w:t>
      </w:r>
    </w:p>
    <w:p>
      <w:pPr>
        <w:spacing w:after="200" w:line="300"/>
        <w:jc w:val="both"/>
      </w:pPr>
      <w:r>
        <w:rPr>
          <w:rFonts w:ascii="Garamond" w:cs="Garamond" w:eastAsia="Garamond" w:hAnsi="Garamond"/>
          <w:i w:val="false"/>
          <w:iCs w:val="false"/>
          <w:sz w:val="24"/>
          <w:szCs w:val="24"/>
        </w:rPr>
        <w:t xml:space="preserve">Currently it would appear that nature conservation has taken many important steps to justify its existence, but it would also seem that the inevitable conflicts which arise are eroding the diversity and stability of many habitats. Much discussion and research is being carried out to discover ways to prevent this, largely through more active management. Mammals were the first species to fully feel the effects of man's activities because of their range requirements and position at relatively high trophic levels, and to date few efforts have been made to actively incorporate mammals into conservation strategy or practice. This would seem to be a pity in view of the potential role that mammals could adopt, in an environment which is already very much man-made or man-affected. The plea of this study is, therefore, to conserve mammals more actively than at present, and to give them the attention they deserve.</w:t>
      </w:r>
    </w:p>
    <w:p>
      <w:r>
        <w:br w:type="page"/>
      </w:r>
    </w:p>
    <w:p>
      <w:pPr>
        <w:pStyle w:val="Heading1"/>
        <w:spacing w:after="240" w:before="400"/>
      </w:pPr>
      <w:r>
        <w:rPr>
          <w:rFonts w:ascii="Garamond" w:cs="Garamond" w:eastAsia="Garamond" w:hAnsi="Garamond"/>
          <w:b/>
          <w:bCs/>
          <w:sz w:val="28"/>
          <w:szCs w:val="28"/>
        </w:rPr>
        <w:t xml:space="preserve">References</w:t>
      </w:r>
    </w:p>
    <w:p>
      <w:pPr>
        <w:spacing w:after="160"/>
        <w:ind w:left="480" w:hanging="480"/>
      </w:pPr>
      <w:r>
        <w:rPr>
          <w:rFonts w:ascii="Garamond" w:cs="Garamond" w:eastAsia="Garamond" w:hAnsi="Garamond"/>
          <w:sz w:val="22"/>
          <w:szCs w:val="22"/>
        </w:rPr>
        <w:t xml:space="preserve">Adams, W.M. and Rose, C.I. (1978) The Selection of Reserves for Nature Conservation. Discussion Paper No. 20, University College, London.</w:t>
      </w:r>
    </w:p>
    <w:p>
      <w:pPr>
        <w:spacing w:after="160"/>
        <w:ind w:left="480" w:hanging="480"/>
      </w:pPr>
      <w:r>
        <w:rPr>
          <w:rFonts w:ascii="Garamond" w:cs="Garamond" w:eastAsia="Garamond" w:hAnsi="Garamond"/>
          <w:sz w:val="22"/>
          <w:szCs w:val="22"/>
        </w:rPr>
        <w:t xml:space="preserve">Andrewartha, H.G. and Birch, L.C. (1954) The Distribution and Abundance of Animals. University of Chicago Press.</w:t>
      </w:r>
    </w:p>
    <w:p>
      <w:pPr>
        <w:spacing w:after="160"/>
        <w:ind w:left="480" w:hanging="480"/>
      </w:pPr>
      <w:r>
        <w:rPr>
          <w:rFonts w:ascii="Garamond" w:cs="Garamond" w:eastAsia="Garamond" w:hAnsi="Garamond"/>
          <w:sz w:val="22"/>
          <w:szCs w:val="22"/>
        </w:rPr>
        <w:t xml:space="preserve">Bump, G. (1951) Game Introductions. When, Where and How. 16th North American Wildlife Conference, pp. 316–324.</w:t>
      </w:r>
    </w:p>
    <w:p>
      <w:pPr>
        <w:spacing w:after="160"/>
        <w:ind w:left="480" w:hanging="480"/>
      </w:pPr>
      <w:r>
        <w:rPr>
          <w:rFonts w:ascii="Garamond" w:cs="Garamond" w:eastAsia="Garamond" w:hAnsi="Garamond"/>
          <w:sz w:val="22"/>
          <w:szCs w:val="22"/>
        </w:rPr>
        <w:t xml:space="preserve">Bump, G. (1963) Status of the Foreign Game Introduction Programme. 28th North American Wildlife and Natural Resources Conference.</w:t>
      </w:r>
    </w:p>
    <w:p>
      <w:pPr>
        <w:spacing w:after="160"/>
        <w:ind w:left="480" w:hanging="480"/>
      </w:pPr>
      <w:r>
        <w:rPr>
          <w:rFonts w:ascii="Garamond" w:cs="Garamond" w:eastAsia="Garamond" w:hAnsi="Garamond"/>
          <w:sz w:val="22"/>
          <w:szCs w:val="22"/>
        </w:rPr>
        <w:t xml:space="preserve">Collar, N. (1976) Bringing Back the Bustard. Wildlife 17(6), pp. 254–257.</w:t>
      </w:r>
    </w:p>
    <w:p>
      <w:pPr>
        <w:spacing w:after="160"/>
        <w:ind w:left="480" w:hanging="480"/>
      </w:pPr>
      <w:r>
        <w:rPr>
          <w:rFonts w:ascii="Garamond" w:cs="Garamond" w:eastAsia="Garamond" w:hAnsi="Garamond"/>
          <w:sz w:val="22"/>
          <w:szCs w:val="22"/>
        </w:rPr>
        <w:t xml:space="preserve">Corbett, G.B. and Southern, H.N. (Eds) (1977) The Handbook of British Mammals. Blackwell, Oxford.</w:t>
      </w:r>
    </w:p>
    <w:p>
      <w:pPr>
        <w:spacing w:after="160"/>
        <w:ind w:left="480" w:hanging="480"/>
      </w:pPr>
      <w:r>
        <w:rPr>
          <w:rFonts w:ascii="Garamond" w:cs="Garamond" w:eastAsia="Garamond" w:hAnsi="Garamond"/>
          <w:sz w:val="22"/>
          <w:szCs w:val="22"/>
        </w:rPr>
        <w:t xml:space="preserve">Countryside Commission (1974) New Agricultural Landscapes.</w:t>
      </w:r>
    </w:p>
    <w:p>
      <w:pPr>
        <w:spacing w:after="160"/>
        <w:ind w:left="480" w:hanging="480"/>
      </w:pPr>
      <w:r>
        <w:rPr>
          <w:rFonts w:ascii="Garamond" w:cs="Garamond" w:eastAsia="Garamond" w:hAnsi="Garamond"/>
          <w:sz w:val="22"/>
          <w:szCs w:val="22"/>
        </w:rPr>
        <w:t xml:space="preserve">Countryside Review Committee (1976) The Countryside — Problems and Policies: a discussional paper.</w:t>
      </w:r>
    </w:p>
    <w:p>
      <w:pPr>
        <w:spacing w:after="160"/>
        <w:ind w:left="480" w:hanging="480"/>
      </w:pPr>
      <w:r>
        <w:rPr>
          <w:rFonts w:ascii="Garamond" w:cs="Garamond" w:eastAsia="Garamond" w:hAnsi="Garamond"/>
          <w:sz w:val="22"/>
          <w:szCs w:val="22"/>
        </w:rPr>
        <w:t xml:space="preserve">Cox, E. (1979) Industry Catches up with the Fox. Daily Telegraph, 26th March, p. 7.</w:t>
      </w:r>
    </w:p>
    <w:p>
      <w:pPr>
        <w:spacing w:after="160"/>
        <w:ind w:left="480" w:hanging="480"/>
      </w:pPr>
      <w:r>
        <w:rPr>
          <w:rFonts w:ascii="Garamond" w:cs="Garamond" w:eastAsia="Garamond" w:hAnsi="Garamond"/>
          <w:sz w:val="22"/>
          <w:szCs w:val="22"/>
        </w:rPr>
        <w:t xml:space="preserve">Curry-Lindahl, K. (1972) Conservation for Survival. Victor Gollancz Ltd., London.</w:t>
      </w:r>
    </w:p>
    <w:p>
      <w:pPr>
        <w:spacing w:after="160"/>
        <w:ind w:left="480" w:hanging="480"/>
      </w:pPr>
      <w:r>
        <w:rPr>
          <w:rFonts w:ascii="Garamond" w:cs="Garamond" w:eastAsia="Garamond" w:hAnsi="Garamond"/>
          <w:sz w:val="22"/>
          <w:szCs w:val="22"/>
        </w:rPr>
        <w:t xml:space="preserve">Dent, A. (1974) Lost Beasts of Britain. Harrap, London.</w:t>
      </w:r>
    </w:p>
    <w:p>
      <w:pPr>
        <w:spacing w:after="160"/>
        <w:ind w:left="480" w:hanging="480"/>
      </w:pPr>
      <w:r>
        <w:rPr>
          <w:rFonts w:ascii="Garamond" w:cs="Garamond" w:eastAsia="Garamond" w:hAnsi="Garamond"/>
          <w:sz w:val="22"/>
          <w:szCs w:val="22"/>
        </w:rPr>
        <w:t xml:space="preserve">Diamond, J.M. (1975) The Island Dilemma. Lessons of modern biogeographic studies for the design of nature reserves. Biol. Cons. Vol. 7, pp. 129–145.</w:t>
      </w:r>
    </w:p>
    <w:p>
      <w:pPr>
        <w:spacing w:after="160"/>
        <w:ind w:left="480" w:hanging="480"/>
      </w:pPr>
      <w:r>
        <w:rPr>
          <w:rFonts w:ascii="Garamond" w:cs="Garamond" w:eastAsia="Garamond" w:hAnsi="Garamond"/>
          <w:sz w:val="22"/>
          <w:szCs w:val="22"/>
        </w:rPr>
        <w:t xml:space="preserve">Diamond, J.M. and May, R.M. (1976) Island biogeography and the design of natural reserves. In May, R.M. (ed.) Theoretical Ecology: Principles and Applications. Blackwell Sci. Press, Oxford.</w:t>
      </w:r>
    </w:p>
    <w:p>
      <w:pPr>
        <w:spacing w:after="160"/>
        <w:ind w:left="480" w:hanging="480"/>
      </w:pPr>
      <w:r>
        <w:rPr>
          <w:rFonts w:ascii="Garamond" w:cs="Garamond" w:eastAsia="Garamond" w:hAnsi="Garamond"/>
          <w:sz w:val="22"/>
          <w:szCs w:val="22"/>
        </w:rPr>
        <w:t xml:space="preserve">Drury, W.H. (1974) Rare Species. Biol. Cons. Vol. 6, pp. 162–169.</w:t>
      </w:r>
    </w:p>
    <w:p>
      <w:pPr>
        <w:spacing w:after="160"/>
        <w:ind w:left="480" w:hanging="480"/>
      </w:pPr>
      <w:r>
        <w:rPr>
          <w:rFonts w:ascii="Garamond" w:cs="Garamond" w:eastAsia="Garamond" w:hAnsi="Garamond"/>
          <w:sz w:val="22"/>
          <w:szCs w:val="22"/>
        </w:rPr>
        <w:t xml:space="preserve">Elton, C. (1958) The Ecology of Invasions by Animals and Plants. Methuen, London.</w:t>
      </w:r>
    </w:p>
    <w:p>
      <w:pPr>
        <w:spacing w:after="160"/>
        <w:ind w:left="480" w:hanging="480"/>
      </w:pPr>
      <w:r>
        <w:rPr>
          <w:rFonts w:ascii="Garamond" w:cs="Garamond" w:eastAsia="Garamond" w:hAnsi="Garamond"/>
          <w:sz w:val="22"/>
          <w:szCs w:val="22"/>
        </w:rPr>
        <w:t xml:space="preserve">Everett, R.D. (1978) The Aesthetic Value of Wildlife, in the Ecological Impacts of Countryside Recreation. R.E.R.G. Report No. 3, pp. 29–33.</w:t>
      </w:r>
    </w:p>
    <w:p>
      <w:pPr>
        <w:spacing w:after="160"/>
        <w:ind w:left="480" w:hanging="480"/>
      </w:pPr>
      <w:r>
        <w:rPr>
          <w:rFonts w:ascii="Garamond" w:cs="Garamond" w:eastAsia="Garamond" w:hAnsi="Garamond"/>
          <w:sz w:val="22"/>
          <w:szCs w:val="22"/>
        </w:rPr>
        <w:t xml:space="preserve">Everett, R.D. (1978) The Wildlife Preferences Shown by Countryside Visitors. Biol. Conserv. 14, pp. 75–84.</w:t>
      </w:r>
    </w:p>
    <w:p>
      <w:pPr>
        <w:spacing w:after="160"/>
        <w:ind w:left="480" w:hanging="480"/>
      </w:pPr>
      <w:r>
        <w:rPr>
          <w:rFonts w:ascii="Garamond" w:cs="Garamond" w:eastAsia="Garamond" w:hAnsi="Garamond"/>
          <w:sz w:val="22"/>
          <w:szCs w:val="22"/>
        </w:rPr>
        <w:t xml:space="preserve">Fisher, J., Simon, N. and Vincent, J. (1969) The Red Book: Wildlife in Danger. Collins, London.</w:t>
      </w:r>
    </w:p>
    <w:p>
      <w:pPr>
        <w:spacing w:after="160"/>
        <w:ind w:left="480" w:hanging="480"/>
      </w:pPr>
      <w:r>
        <w:rPr>
          <w:rFonts w:ascii="Garamond" w:cs="Garamond" w:eastAsia="Garamond" w:hAnsi="Garamond"/>
          <w:sz w:val="22"/>
          <w:szCs w:val="22"/>
        </w:rPr>
        <w:t xml:space="preserve">Fitter, R.S.R. (1959) The Ark in our Midst. Collins, London.</w:t>
      </w:r>
    </w:p>
    <w:p>
      <w:pPr>
        <w:spacing w:after="160"/>
        <w:ind w:left="480" w:hanging="480"/>
      </w:pPr>
      <w:r>
        <w:rPr>
          <w:rFonts w:ascii="Garamond" w:cs="Garamond" w:eastAsia="Garamond" w:hAnsi="Garamond"/>
          <w:sz w:val="22"/>
          <w:szCs w:val="22"/>
        </w:rPr>
        <w:t xml:space="preserve">Fitter, R.S.R. (1967) Animal Introductions and their Ecological Effects in Europe, in Changes Due to Introduced Species. IUCN, Morges, Switzerland.</w:t>
      </w:r>
    </w:p>
    <w:p>
      <w:pPr>
        <w:spacing w:after="160"/>
        <w:ind w:left="480" w:hanging="480"/>
      </w:pPr>
      <w:r>
        <w:rPr>
          <w:rFonts w:ascii="Garamond" w:cs="Garamond" w:eastAsia="Garamond" w:hAnsi="Garamond"/>
          <w:sz w:val="22"/>
          <w:szCs w:val="22"/>
        </w:rPr>
        <w:t xml:space="preserve">Gottschalk, J.S. (1967) The Introduction of Exotic Animals into the United States, in Changes Due to Introduced Species. IUCN, Morges, Switzerland.</w:t>
      </w:r>
    </w:p>
    <w:p>
      <w:pPr>
        <w:spacing w:after="160"/>
        <w:ind w:left="480" w:hanging="480"/>
      </w:pPr>
      <w:r>
        <w:rPr>
          <w:rFonts w:ascii="Garamond" w:cs="Garamond" w:eastAsia="Garamond" w:hAnsi="Garamond"/>
          <w:sz w:val="22"/>
          <w:szCs w:val="22"/>
        </w:rPr>
        <w:t xml:space="preserve">Green, B. (1978) The Introduction of Species to Great Britain: a suggested policy for Nature Conservation. Paper for N.C.C. Working Group on Introductions.</w:t>
      </w:r>
    </w:p>
    <w:p>
      <w:pPr>
        <w:spacing w:after="160"/>
        <w:ind w:left="480" w:hanging="480"/>
      </w:pPr>
      <w:r>
        <w:rPr>
          <w:rFonts w:ascii="Garamond" w:cs="Garamond" w:eastAsia="Garamond" w:hAnsi="Garamond"/>
          <w:sz w:val="22"/>
          <w:szCs w:val="22"/>
        </w:rPr>
        <w:t xml:space="preserve">Harry, J., Gale, R. and Hendee, J. (1969) Conservation: An Upper-Middle Class Social Movement. Journal of Leisure Research, Vol. 1, p. 246.</w:t>
      </w:r>
    </w:p>
    <w:p>
      <w:pPr>
        <w:spacing w:after="160"/>
        <w:ind w:left="480" w:hanging="480"/>
      </w:pPr>
      <w:r>
        <w:rPr>
          <w:rFonts w:ascii="Garamond" w:cs="Garamond" w:eastAsia="Garamond" w:hAnsi="Garamond"/>
          <w:sz w:val="22"/>
          <w:szCs w:val="22"/>
        </w:rPr>
        <w:t xml:space="preserve">Holdgate, M.W. (1967) The Influence of Introduced Species on the Ecosystems of Temperate Oceanic Islands, in Changes Due to Introduced Species. IUCN, Morges, Switzerland.</w:t>
      </w:r>
    </w:p>
    <w:p>
      <w:pPr>
        <w:spacing w:after="160"/>
        <w:ind w:left="480" w:hanging="480"/>
      </w:pPr>
      <w:r>
        <w:rPr>
          <w:rFonts w:ascii="Garamond" w:cs="Garamond" w:eastAsia="Garamond" w:hAnsi="Garamond"/>
          <w:sz w:val="22"/>
          <w:szCs w:val="22"/>
        </w:rPr>
        <w:t xml:space="preserve">Holmes, G.D. (1975) Discussion on Forests and Forestry in Britain. London Royal Society, Vol. 271, no. 991, pp. 45–89.</w:t>
      </w:r>
    </w:p>
    <w:p>
      <w:pPr>
        <w:spacing w:after="160"/>
        <w:ind w:left="480" w:hanging="480"/>
      </w:pPr>
      <w:r>
        <w:rPr>
          <w:rFonts w:ascii="Garamond" w:cs="Garamond" w:eastAsia="Garamond" w:hAnsi="Garamond"/>
          <w:sz w:val="22"/>
          <w:szCs w:val="22"/>
        </w:rPr>
        <w:t xml:space="preserve">Hooper, M.D. (1978) Trust Reserve Acquisition/Protection Schemes. S.P.N.C. Nature Reserves Conference, 7pp.</w:t>
      </w:r>
    </w:p>
    <w:p>
      <w:pPr>
        <w:spacing w:after="160"/>
        <w:ind w:left="480" w:hanging="480"/>
      </w:pPr>
      <w:r>
        <w:rPr>
          <w:rFonts w:ascii="Garamond" w:cs="Garamond" w:eastAsia="Garamond" w:hAnsi="Garamond"/>
          <w:sz w:val="22"/>
          <w:szCs w:val="22"/>
        </w:rPr>
        <w:t xml:space="preserve">Howard, W.E. (1967) Ecological Changes in New Zealand due to Introduced Mammals, in Changes Due to Introduced Species. IUCN, Morges, Switzerland.</w:t>
      </w:r>
    </w:p>
    <w:p>
      <w:pPr>
        <w:spacing w:after="160"/>
        <w:ind w:left="480" w:hanging="480"/>
      </w:pPr>
      <w:r>
        <w:rPr>
          <w:rFonts w:ascii="Garamond" w:cs="Garamond" w:eastAsia="Garamond" w:hAnsi="Garamond"/>
          <w:sz w:val="22"/>
          <w:szCs w:val="22"/>
        </w:rPr>
        <w:t xml:space="preserve">James, P.G. (1974) Land Use in Upland Britain — an Economist's Viewpoint, in Conservation in Practice, ed. Warren, A. and Goldsmith, F.B. Wiley, Aberdeen.</w:t>
      </w:r>
    </w:p>
    <w:p>
      <w:pPr>
        <w:spacing w:after="160"/>
        <w:ind w:left="480" w:hanging="480"/>
      </w:pPr>
      <w:r>
        <w:rPr>
          <w:rFonts w:ascii="Garamond" w:cs="Garamond" w:eastAsia="Garamond" w:hAnsi="Garamond"/>
          <w:sz w:val="22"/>
          <w:szCs w:val="22"/>
        </w:rPr>
        <w:t xml:space="preserve">Krebs, C.J. (1972) Ecology: The Experimental Analysis of Distribution and Abundance. Harper and Row, New York.</w:t>
      </w:r>
    </w:p>
    <w:p>
      <w:pPr>
        <w:spacing w:after="160"/>
        <w:ind w:left="480" w:hanging="480"/>
      </w:pPr>
      <w:r>
        <w:rPr>
          <w:rFonts w:ascii="Garamond" w:cs="Garamond" w:eastAsia="Garamond" w:hAnsi="Garamond"/>
          <w:sz w:val="22"/>
          <w:szCs w:val="22"/>
        </w:rPr>
        <w:t xml:space="preserve">Kurten, B. (1968) Pleistocene Mammals of Europe. Weidenfeld &amp; Nicolson, London.</w:t>
      </w:r>
    </w:p>
    <w:p>
      <w:pPr>
        <w:spacing w:after="160"/>
        <w:ind w:left="480" w:hanging="480"/>
      </w:pPr>
      <w:r>
        <w:rPr>
          <w:rFonts w:ascii="Garamond" w:cs="Garamond" w:eastAsia="Garamond" w:hAnsi="Garamond"/>
          <w:sz w:val="22"/>
          <w:szCs w:val="22"/>
        </w:rPr>
        <w:t xml:space="preserve">Lever, C. (1977) The Naturalised Animals of the British Isles. Hutchinson, London.</w:t>
      </w:r>
    </w:p>
    <w:p>
      <w:pPr>
        <w:spacing w:after="160"/>
        <w:ind w:left="480" w:hanging="480"/>
      </w:pPr>
      <w:r>
        <w:rPr>
          <w:rFonts w:ascii="Garamond" w:cs="Garamond" w:eastAsia="Garamond" w:hAnsi="Garamond"/>
          <w:sz w:val="22"/>
          <w:szCs w:val="22"/>
        </w:rPr>
        <w:t xml:space="preserve">MacArthur, R.H. and Wilson, E.O. (1967) The Theory of Island Biogeography. Wiley, New York.</w:t>
      </w:r>
    </w:p>
    <w:p>
      <w:pPr>
        <w:spacing w:after="160"/>
        <w:ind w:left="480" w:hanging="480"/>
      </w:pPr>
      <w:r>
        <w:rPr>
          <w:rFonts w:ascii="Garamond" w:cs="Garamond" w:eastAsia="Garamond" w:hAnsi="Garamond"/>
          <w:sz w:val="22"/>
          <w:szCs w:val="22"/>
        </w:rPr>
        <w:t xml:space="preserve">May, R.M. (1976) Kelp, Abalone and Otters. Nature, March 25th, p. 281.</w:t>
      </w:r>
    </w:p>
    <w:p>
      <w:pPr>
        <w:spacing w:after="160"/>
        <w:ind w:left="480" w:hanging="480"/>
      </w:pPr>
      <w:r>
        <w:rPr>
          <w:rFonts w:ascii="Garamond" w:cs="Garamond" w:eastAsia="Garamond" w:hAnsi="Garamond"/>
          <w:sz w:val="22"/>
          <w:szCs w:val="22"/>
        </w:rPr>
        <w:t xml:space="preserve">Moore, N.W. (1977) Keeping Our Wildlife. Conservation Review No. 14.</w:t>
      </w:r>
    </w:p>
    <w:p>
      <w:pPr>
        <w:spacing w:after="160"/>
        <w:ind w:left="480" w:hanging="480"/>
      </w:pPr>
      <w:r>
        <w:rPr>
          <w:rFonts w:ascii="Garamond" w:cs="Garamond" w:eastAsia="Garamond" w:hAnsi="Garamond"/>
          <w:sz w:val="22"/>
          <w:szCs w:val="22"/>
        </w:rPr>
        <w:t xml:space="preserve">Moore, T.A. and Paine, B.R. (1978) Affective Responses to Natural Areas Near Cities. Journal of Leisure Research, 10, pp. 7–12.</w:t>
      </w:r>
    </w:p>
    <w:p>
      <w:pPr>
        <w:spacing w:after="160"/>
        <w:ind w:left="480" w:hanging="480"/>
      </w:pPr>
      <w:r>
        <w:rPr>
          <w:rFonts w:ascii="Garamond" w:cs="Garamond" w:eastAsia="Garamond" w:hAnsi="Garamond"/>
          <w:sz w:val="22"/>
          <w:szCs w:val="22"/>
        </w:rPr>
        <w:t xml:space="preserve">Nevard, T.D. (1976) Factors Relevant to the Establishment of a European Wilderness Reserve. Special Study, Wye College, London University.</w:t>
      </w:r>
    </w:p>
    <w:p>
      <w:pPr>
        <w:spacing w:after="160"/>
        <w:ind w:left="480" w:hanging="480"/>
      </w:pPr>
      <w:r>
        <w:rPr>
          <w:rFonts w:ascii="Garamond" w:cs="Garamond" w:eastAsia="Garamond" w:hAnsi="Garamond"/>
          <w:sz w:val="22"/>
          <w:szCs w:val="22"/>
        </w:rPr>
        <w:t xml:space="preserve">Nevard, T.D. and Penfold, J.B. (1978) Wildlife Conservation in Britain: The Unsatisfied Demand. Biol. Conserv. 14, pp. 25–44.</w:t>
      </w:r>
    </w:p>
    <w:p>
      <w:pPr>
        <w:spacing w:after="160"/>
        <w:ind w:left="480" w:hanging="480"/>
      </w:pPr>
      <w:r>
        <w:rPr>
          <w:rFonts w:ascii="Garamond" w:cs="Garamond" w:eastAsia="Garamond" w:hAnsi="Garamond"/>
          <w:sz w:val="22"/>
          <w:szCs w:val="22"/>
        </w:rPr>
        <w:t xml:space="preserve">Paine, R.T. (1969) A Note on Trophic Complexity and Stability. Amer. Nat. 103, pp. 91–93.</w:t>
      </w:r>
    </w:p>
    <w:p>
      <w:pPr>
        <w:spacing w:after="160"/>
        <w:ind w:left="480" w:hanging="480"/>
      </w:pPr>
      <w:r>
        <w:rPr>
          <w:rFonts w:ascii="Garamond" w:cs="Garamond" w:eastAsia="Garamond" w:hAnsi="Garamond"/>
          <w:sz w:val="22"/>
          <w:szCs w:val="22"/>
        </w:rPr>
        <w:t xml:space="preserve">Peterken, G.F. (1974) A Method for Assessing Woodland Flora for Conservation using Indicator Species. Biol. Cons. 6, pp. 239–245.</w:t>
      </w:r>
    </w:p>
    <w:p>
      <w:pPr>
        <w:spacing w:after="160"/>
        <w:ind w:left="480" w:hanging="480"/>
      </w:pPr>
      <w:r>
        <w:rPr>
          <w:rFonts w:ascii="Garamond" w:cs="Garamond" w:eastAsia="Garamond" w:hAnsi="Garamond"/>
          <w:sz w:val="22"/>
          <w:szCs w:val="22"/>
        </w:rPr>
        <w:t xml:space="preserve">Pianka, E.R. (1976) Competition and Niche Theory, in Theoretical Ecology. Blackwell Sci. Press, Oxford.</w:t>
      </w:r>
    </w:p>
    <w:p>
      <w:pPr>
        <w:spacing w:after="160"/>
        <w:ind w:left="480" w:hanging="480"/>
      </w:pPr>
      <w:r>
        <w:rPr>
          <w:rFonts w:ascii="Garamond" w:cs="Garamond" w:eastAsia="Garamond" w:hAnsi="Garamond"/>
          <w:sz w:val="22"/>
          <w:szCs w:val="22"/>
        </w:rPr>
        <w:t xml:space="preserve">Picton, H.D. (1979) The Application of Insular Biogeographic Theory to the Conservation of Large Mammals in the Northern Rocky Mountains. Biol. Cons. 15, pp. 73–79.</w:t>
      </w:r>
    </w:p>
    <w:p>
      <w:pPr>
        <w:spacing w:after="160"/>
        <w:ind w:left="480" w:hanging="480"/>
      </w:pPr>
      <w:r>
        <w:rPr>
          <w:rFonts w:ascii="Garamond" w:cs="Garamond" w:eastAsia="Garamond" w:hAnsi="Garamond"/>
          <w:sz w:val="22"/>
          <w:szCs w:val="22"/>
        </w:rPr>
        <w:t xml:space="preserve">Pinder, N. (1978) M.Sc. Thesis in Conservation. University College, London.</w:t>
      </w:r>
    </w:p>
    <w:p>
      <w:pPr>
        <w:spacing w:after="160"/>
        <w:ind w:left="480" w:hanging="480"/>
      </w:pPr>
      <w:r>
        <w:rPr>
          <w:rFonts w:ascii="Garamond" w:cs="Garamond" w:eastAsia="Garamond" w:hAnsi="Garamond"/>
          <w:sz w:val="22"/>
          <w:szCs w:val="22"/>
        </w:rPr>
        <w:t xml:space="preserve">Pinder, N. and Barkham, J.P. (1978) An Assessment of the Contribution of Captive Breeding to the Conservation of Rare Mammals. Biol. Conserv. 13, pp. 187–245.</w:t>
      </w:r>
    </w:p>
    <w:p>
      <w:pPr>
        <w:spacing w:after="160"/>
        <w:ind w:left="480" w:hanging="480"/>
      </w:pPr>
      <w:r>
        <w:rPr>
          <w:rFonts w:ascii="Garamond" w:cs="Garamond" w:eastAsia="Garamond" w:hAnsi="Garamond"/>
          <w:sz w:val="22"/>
          <w:szCs w:val="22"/>
        </w:rPr>
        <w:t xml:space="preserve">Ratcliffe, D.A. (1971) Criteria for the Selection of Nature Reserves. The Advancement of Science 27, pp. 294–296.</w:t>
      </w:r>
    </w:p>
    <w:p>
      <w:pPr>
        <w:spacing w:after="160"/>
        <w:ind w:left="480" w:hanging="480"/>
      </w:pPr>
      <w:r>
        <w:rPr>
          <w:rFonts w:ascii="Garamond" w:cs="Garamond" w:eastAsia="Garamond" w:hAnsi="Garamond"/>
          <w:sz w:val="22"/>
          <w:szCs w:val="22"/>
        </w:rPr>
        <w:t xml:space="preserve">Ratcliffe, D.A. (Ed.) (1977) A Nature Conservation Review. Cambridge University Press.</w:t>
      </w:r>
    </w:p>
    <w:p>
      <w:pPr>
        <w:spacing w:after="160"/>
        <w:ind w:left="480" w:hanging="480"/>
      </w:pPr>
      <w:r>
        <w:rPr>
          <w:rFonts w:ascii="Garamond" w:cs="Garamond" w:eastAsia="Garamond" w:hAnsi="Garamond"/>
          <w:sz w:val="22"/>
          <w:szCs w:val="22"/>
        </w:rPr>
        <w:t xml:space="preserve">Reicholf, J. (1977) Some Ecological Points Concerning the Introduction of Birds and Mammals, in Proceedings of the Seminar on Reintroduction Techniques and Ethics. WWF, Rome.</w:t>
      </w:r>
    </w:p>
    <w:p>
      <w:pPr>
        <w:spacing w:after="160"/>
        <w:ind w:left="480" w:hanging="480"/>
      </w:pPr>
      <w:r>
        <w:rPr>
          <w:rFonts w:ascii="Garamond" w:cs="Garamond" w:eastAsia="Garamond" w:hAnsi="Garamond"/>
          <w:sz w:val="22"/>
          <w:szCs w:val="22"/>
        </w:rPr>
        <w:t xml:space="preserve">Rose, C. (1978) Introduced Species and Conservation. M.Sc. Thesis, University College, London.</w:t>
      </w:r>
    </w:p>
    <w:p>
      <w:pPr>
        <w:spacing w:after="160"/>
        <w:ind w:left="480" w:hanging="480"/>
      </w:pPr>
      <w:r>
        <w:rPr>
          <w:rFonts w:ascii="Garamond" w:cs="Garamond" w:eastAsia="Garamond" w:hAnsi="Garamond"/>
          <w:sz w:val="22"/>
          <w:szCs w:val="22"/>
        </w:rPr>
        <w:t xml:space="preserve">Simberhoff, D.S. and Abele, L.G. (1976) Island Biogeography Theory and Conservation Practice. Science 191, pp. 285–286.</w:t>
      </w:r>
    </w:p>
    <w:p>
      <w:pPr>
        <w:spacing w:after="160"/>
        <w:ind w:left="480" w:hanging="480"/>
      </w:pPr>
      <w:r>
        <w:rPr>
          <w:rFonts w:ascii="Garamond" w:cs="Garamond" w:eastAsia="Garamond" w:hAnsi="Garamond"/>
          <w:sz w:val="22"/>
          <w:szCs w:val="22"/>
        </w:rPr>
        <w:t xml:space="preserve">Sitwell, N. (1977) Proposal to Reintroduce the Beaver. Wildlife.</w:t>
      </w:r>
    </w:p>
    <w:p>
      <w:pPr>
        <w:spacing w:after="160"/>
        <w:ind w:left="480" w:hanging="480"/>
      </w:pPr>
      <w:r>
        <w:rPr>
          <w:rFonts w:ascii="Garamond" w:cs="Garamond" w:eastAsia="Garamond" w:hAnsi="Garamond"/>
          <w:sz w:val="22"/>
          <w:szCs w:val="22"/>
        </w:rPr>
        <w:t xml:space="preserve">S.P.N.R. (1970) Policy on Introductions to Nature Reserves. Technical Publ. No. 2, The Manor House, Alford, Lincs.</w:t>
      </w:r>
    </w:p>
    <w:p>
      <w:pPr>
        <w:spacing w:after="160"/>
        <w:ind w:left="480" w:hanging="480"/>
      </w:pPr>
      <w:r>
        <w:rPr>
          <w:rFonts w:ascii="Garamond" w:cs="Garamond" w:eastAsia="Garamond" w:hAnsi="Garamond"/>
          <w:sz w:val="22"/>
          <w:szCs w:val="22"/>
        </w:rPr>
        <w:t xml:space="preserve">Sullivan, A.L. and Shaffer, M.L. (1975) Biogeography of the Megazoo. Science 189, pp. 13–17.</w:t>
      </w:r>
    </w:p>
    <w:p>
      <w:pPr>
        <w:spacing w:after="160"/>
        <w:ind w:left="480" w:hanging="480"/>
      </w:pPr>
      <w:r>
        <w:rPr>
          <w:rFonts w:ascii="Garamond" w:cs="Garamond" w:eastAsia="Garamond" w:hAnsi="Garamond"/>
          <w:sz w:val="22"/>
          <w:szCs w:val="22"/>
        </w:rPr>
        <w:t xml:space="preserve">Taylor, R.H. (1968) Introduced Mammals and Islands. Proceedings of the New Zealand Ecological Society, Vol. 15.</w:t>
      </w:r>
    </w:p>
    <w:p>
      <w:pPr>
        <w:spacing w:after="160"/>
        <w:ind w:left="480" w:hanging="480"/>
      </w:pPr>
      <w:r>
        <w:rPr>
          <w:rFonts w:ascii="Garamond" w:cs="Garamond" w:eastAsia="Garamond" w:hAnsi="Garamond"/>
          <w:sz w:val="22"/>
          <w:szCs w:val="22"/>
        </w:rPr>
        <w:t xml:space="preserve">Van den Brink, F.H. (1976) A Field Guide to the Mammals of Britain and Europe. Collins, London.</w:t>
      </w:r>
    </w:p>
    <w:p>
      <w:pPr>
        <w:spacing w:after="160"/>
        <w:ind w:left="480" w:hanging="480"/>
      </w:pPr>
      <w:r>
        <w:rPr>
          <w:rFonts w:ascii="Garamond" w:cs="Garamond" w:eastAsia="Garamond" w:hAnsi="Garamond"/>
          <w:sz w:val="22"/>
          <w:szCs w:val="22"/>
        </w:rPr>
        <w:t xml:space="preserve">Vos, A. de and Petrides, G.A. (1967) Biological Effects Caused by Terrestrial Vertebrates Introduced into Non-Native Environments, in Changes Due to Introduced Species. IUCN, Morges, Switzerland.</w:t>
      </w:r>
    </w:p>
    <w:p>
      <w:pPr>
        <w:spacing w:after="160"/>
        <w:ind w:left="480" w:hanging="480"/>
      </w:pPr>
      <w:r>
        <w:rPr>
          <w:rFonts w:ascii="Garamond" w:cs="Garamond" w:eastAsia="Garamond" w:hAnsi="Garamond"/>
          <w:sz w:val="22"/>
          <w:szCs w:val="22"/>
        </w:rPr>
        <w:t xml:space="preserve">Ziswiler, V. (1967) Extinct and Vanishing Animals. Longmans, New York.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2026-08-17T11:34:28.296Z</dcterms:created>
  <dcterms:modified xsi:type="dcterms:W3CDTF">2026-08-17T11:34:28.312Z</dcterms:modified>
</cp:coreProperties>
</file>

<file path=docProps/custom.xml><?xml version="1.0" encoding="utf-8"?>
<Properties xmlns="http://schemas.openxmlformats.org/officeDocument/2006/custom-properties" xmlns:vt="http://schemas.openxmlformats.org/officeDocument/2006/docPropsVTypes"/>
</file>